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left="0"/>
        <w:jc w:val="center"/>
        <w:rPr>
          <w:rFonts w:hint="eastAsia" w:ascii="宋体" w:hAnsi="宋体" w:eastAsia="宋体"/>
          <w:highlight w:val="none"/>
          <w:lang w:eastAsia="zh-CN"/>
        </w:rPr>
      </w:pPr>
      <w:bookmarkStart w:id="0" w:name="_GoBack"/>
      <w:bookmarkEnd w:id="0"/>
      <w:r>
        <w:rPr>
          <w:rFonts w:hint="eastAsia" w:ascii="宋体" w:hAnsi="宋体" w:eastAsia="宋体"/>
          <w:w w:val="95"/>
          <w:highlight w:val="none"/>
          <w:lang w:eastAsia="zh-CN"/>
        </w:rPr>
        <w:t>重庆</w:t>
      </w:r>
      <w:r>
        <w:rPr>
          <w:rFonts w:ascii="宋体" w:hAnsi="宋体" w:eastAsia="宋体"/>
          <w:w w:val="95"/>
          <w:highlight w:val="none"/>
          <w:lang w:eastAsia="zh-CN"/>
        </w:rPr>
        <w:t>银行理财产品</w:t>
      </w:r>
      <w:r>
        <w:rPr>
          <w:rFonts w:hint="eastAsia" w:ascii="宋体" w:hAnsi="宋体" w:eastAsia="宋体"/>
          <w:w w:val="95"/>
          <w:highlight w:val="none"/>
          <w:lang w:eastAsia="zh-CN"/>
        </w:rPr>
        <w:t>代理销售</w:t>
      </w:r>
      <w:r>
        <w:rPr>
          <w:rFonts w:ascii="宋体" w:hAnsi="宋体" w:eastAsia="宋体"/>
          <w:w w:val="95"/>
          <w:highlight w:val="none"/>
          <w:lang w:eastAsia="zh-CN"/>
        </w:rPr>
        <w:t>协议书</w:t>
      </w:r>
    </w:p>
    <w:p>
      <w:pPr>
        <w:spacing w:before="153"/>
        <w:ind w:left="114"/>
        <w:rPr>
          <w:rFonts w:hint="eastAsia" w:ascii="宋体" w:hAnsi="宋体" w:eastAsia="宋体"/>
          <w:sz w:val="18"/>
          <w:highlight w:val="none"/>
          <w:lang w:eastAsia="zh-CN"/>
        </w:rPr>
      </w:pPr>
      <w:r>
        <w:rPr>
          <w:rFonts w:ascii="宋体" w:hAnsi="宋体" w:eastAsia="宋体"/>
          <w:highlight w:val="none"/>
          <w:lang w:eastAsia="zh-CN"/>
        </w:rPr>
        <w:br w:type="column"/>
      </w:r>
    </w:p>
    <w:p>
      <w:pPr>
        <w:rPr>
          <w:rFonts w:hint="eastAsia" w:ascii="宋体" w:hAnsi="宋体" w:eastAsia="宋体"/>
          <w:sz w:val="18"/>
          <w:highlight w:val="none"/>
          <w:lang w:eastAsia="zh-CN"/>
        </w:rPr>
        <w:sectPr>
          <w:pgSz w:w="11910" w:h="16840"/>
          <w:pgMar w:top="1440" w:right="660" w:bottom="1440" w:left="1803" w:header="720" w:footer="720" w:gutter="0"/>
          <w:cols w:equalWidth="0" w:num="2">
            <w:col w:w="8169" w:space="383"/>
            <w:col w:w="895"/>
          </w:cols>
        </w:sectPr>
      </w:pPr>
    </w:p>
    <w:p>
      <w:pPr>
        <w:pStyle w:val="4"/>
        <w:spacing w:before="6"/>
        <w:ind w:left="0" w:firstLine="0"/>
        <w:rPr>
          <w:rFonts w:hint="eastAsia" w:ascii="宋体" w:hAnsi="宋体" w:eastAsia="宋体"/>
          <w:sz w:val="13"/>
          <w:highlight w:val="none"/>
          <w:lang w:eastAsia="zh-CN"/>
        </w:rPr>
      </w:pPr>
    </w:p>
    <w:p>
      <w:pPr>
        <w:pStyle w:val="2"/>
        <w:adjustRightInd w:val="0"/>
        <w:snapToGrid w:val="0"/>
        <w:spacing w:before="67" w:line="312" w:lineRule="auto"/>
        <w:ind w:left="0" w:right="220" w:rightChars="100" w:firstLine="554" w:firstLineChars="200"/>
        <w:contextualSpacing/>
        <w:rPr>
          <w:rFonts w:hint="eastAsia" w:ascii="宋体" w:hAnsi="宋体" w:eastAsia="宋体"/>
          <w:spacing w:val="-2"/>
          <w:sz w:val="28"/>
          <w:szCs w:val="28"/>
          <w:highlight w:val="none"/>
          <w:lang w:eastAsia="zh-CN"/>
        </w:rPr>
      </w:pPr>
      <w:r>
        <w:rPr>
          <w:rFonts w:ascii="宋体" w:hAnsi="宋体" w:eastAsia="宋体"/>
          <w:spacing w:val="-2"/>
          <w:sz w:val="28"/>
          <w:szCs w:val="28"/>
          <w:highlight w:val="none"/>
          <w:lang w:eastAsia="zh-CN"/>
        </w:rPr>
        <w:t>理财非存款、产品有风险、投资须</w:t>
      </w:r>
      <w:r>
        <w:rPr>
          <w:rFonts w:hint="eastAsia" w:ascii="宋体" w:hAnsi="宋体" w:eastAsia="宋体"/>
          <w:spacing w:val="-2"/>
          <w:sz w:val="28"/>
          <w:szCs w:val="28"/>
          <w:highlight w:val="none"/>
          <w:lang w:eastAsia="zh-CN"/>
        </w:rPr>
        <w:t>谨慎</w:t>
      </w:r>
    </w:p>
    <w:p>
      <w:pPr>
        <w:pStyle w:val="2"/>
        <w:adjustRightInd w:val="0"/>
        <w:snapToGrid w:val="0"/>
        <w:spacing w:before="67" w:line="312" w:lineRule="auto"/>
        <w:ind w:left="0" w:right="220" w:rightChars="100" w:firstLine="474" w:firstLineChars="200"/>
        <w:contextualSpacing/>
        <w:rPr>
          <w:rFonts w:hint="eastAsia" w:ascii="宋体" w:hAnsi="宋体" w:eastAsia="宋体" w:cs="宋体"/>
          <w:sz w:val="24"/>
          <w:szCs w:val="24"/>
          <w:highlight w:val="none"/>
          <w:lang w:eastAsia="zh-CN"/>
        </w:rPr>
      </w:pPr>
      <w:r>
        <w:rPr>
          <w:rFonts w:hint="eastAsia" w:ascii="宋体" w:hAnsi="宋体" w:eastAsia="宋体" w:cs="宋体"/>
          <w:spacing w:val="-2"/>
          <w:sz w:val="24"/>
          <w:szCs w:val="24"/>
          <w:highlight w:val="none"/>
          <w:lang w:eastAsia="zh-CN"/>
        </w:rPr>
        <w:t>一、重要申明</w:t>
      </w:r>
    </w:p>
    <w:p>
      <w:pPr>
        <w:pStyle w:val="4"/>
        <w:adjustRightInd w:val="0"/>
        <w:snapToGrid w:val="0"/>
        <w:spacing w:before="1" w:line="312" w:lineRule="auto"/>
        <w:ind w:left="0" w:right="220" w:rightChars="100" w:firstLine="424" w:firstLineChars="200"/>
        <w:contextualSpacing/>
        <w:jc w:val="both"/>
        <w:rPr>
          <w:rFonts w:hint="eastAsia" w:ascii="宋体" w:hAnsi="宋体" w:eastAsia="宋体" w:cs="宋体"/>
          <w:sz w:val="24"/>
          <w:szCs w:val="24"/>
          <w:highlight w:val="none"/>
          <w:lang w:eastAsia="zh-CN"/>
        </w:rPr>
      </w:pPr>
      <w:r>
        <w:rPr>
          <w:rFonts w:hint="eastAsia" w:ascii="宋体" w:hAnsi="宋体" w:eastAsia="宋体" w:cs="宋体"/>
          <w:spacing w:val="-2"/>
          <w:w w:val="90"/>
          <w:sz w:val="24"/>
          <w:szCs w:val="24"/>
          <w:highlight w:val="none"/>
          <w:lang w:eastAsia="zh-CN"/>
        </w:rPr>
        <w:t>1</w:t>
      </w:r>
      <w:r>
        <w:rPr>
          <w:rFonts w:hint="eastAsia" w:ascii="宋体" w:hAnsi="宋体" w:eastAsia="宋体" w:cs="宋体"/>
          <w:spacing w:val="-2"/>
          <w:sz w:val="24"/>
          <w:szCs w:val="24"/>
          <w:highlight w:val="none"/>
          <w:lang w:eastAsia="zh-CN"/>
        </w:rPr>
        <w:t>、《重庆银行理财产品代理销售协议书</w:t>
      </w:r>
      <w:r>
        <w:rPr>
          <w:rFonts w:hint="eastAsia" w:ascii="宋体" w:hAnsi="宋体" w:eastAsia="宋体" w:cs="宋体"/>
          <w:spacing w:val="-1"/>
          <w:sz w:val="24"/>
          <w:szCs w:val="24"/>
          <w:highlight w:val="none"/>
          <w:lang w:eastAsia="zh-CN"/>
        </w:rPr>
        <w:t>》为投资者购买重庆银行股份有限公司（以下简称“重庆银行”）代理销售的商业</w:t>
      </w:r>
      <w:r>
        <w:rPr>
          <w:rFonts w:hint="eastAsia" w:ascii="宋体" w:hAnsi="宋体" w:eastAsia="宋体" w:cs="宋体"/>
          <w:spacing w:val="-10"/>
          <w:sz w:val="24"/>
          <w:szCs w:val="24"/>
          <w:highlight w:val="none"/>
          <w:lang w:eastAsia="zh-CN"/>
        </w:rPr>
        <w:t>银行理财子公司理财产品的销售服务协议。投资者认购重庆银行代理销售的任一款商业银行理财子公司产品时，还需另行签署</w:t>
      </w:r>
      <w:r>
        <w:rPr>
          <w:rFonts w:hint="eastAsia" w:ascii="宋体" w:hAnsi="宋体" w:eastAsia="宋体" w:cs="宋体"/>
          <w:spacing w:val="-3"/>
          <w:sz w:val="24"/>
          <w:szCs w:val="24"/>
          <w:highlight w:val="none"/>
          <w:lang w:eastAsia="zh-CN"/>
        </w:rPr>
        <w:t>理财产品风险揭示书、理财产品投资协议书、理财产品说明书及投资者权益须知</w:t>
      </w:r>
      <w:r>
        <w:rPr>
          <w:rFonts w:hint="eastAsia" w:ascii="宋体" w:hAnsi="宋体" w:eastAsia="宋体" w:cs="宋体"/>
          <w:sz w:val="24"/>
          <w:szCs w:val="24"/>
          <w:highlight w:val="none"/>
          <w:lang w:eastAsia="zh-CN"/>
        </w:rPr>
        <w:t xml:space="preserve">。 </w:t>
      </w:r>
    </w:p>
    <w:p>
      <w:pPr>
        <w:pStyle w:val="4"/>
        <w:adjustRightInd w:val="0"/>
        <w:snapToGrid w:val="0"/>
        <w:spacing w:before="1" w:line="312" w:lineRule="auto"/>
        <w:ind w:left="0" w:right="220" w:rightChars="100" w:firstLine="516" w:firstLineChars="200"/>
        <w:contextualSpacing/>
        <w:jc w:val="both"/>
        <w:rPr>
          <w:rFonts w:hint="eastAsia" w:ascii="宋体" w:hAnsi="宋体" w:eastAsia="宋体" w:cs="宋体"/>
          <w:b/>
          <w:sz w:val="24"/>
          <w:szCs w:val="24"/>
          <w:highlight w:val="none"/>
          <w:lang w:eastAsia="zh-CN"/>
        </w:rPr>
      </w:pPr>
      <w:r>
        <w:rPr>
          <w:rFonts w:hint="eastAsia" w:ascii="宋体" w:hAnsi="宋体" w:eastAsia="宋体" w:cs="宋体"/>
          <w:bCs/>
          <w:spacing w:val="1"/>
          <w:w w:val="107"/>
          <w:sz w:val="24"/>
          <w:szCs w:val="24"/>
          <w:highlight w:val="none"/>
          <w:lang w:eastAsia="zh-CN"/>
        </w:rPr>
        <w:t>2</w:t>
      </w:r>
      <w:r>
        <w:rPr>
          <w:rFonts w:hint="eastAsia" w:ascii="宋体" w:hAnsi="宋体" w:eastAsia="宋体" w:cs="宋体"/>
          <w:bCs/>
          <w:spacing w:val="-1"/>
          <w:sz w:val="24"/>
          <w:szCs w:val="24"/>
          <w:highlight w:val="none"/>
          <w:lang w:eastAsia="zh-CN"/>
        </w:rPr>
        <w:t>、</w:t>
      </w:r>
      <w:r>
        <w:rPr>
          <w:rFonts w:hint="eastAsia" w:ascii="宋体" w:hAnsi="宋体" w:eastAsia="宋体" w:cs="宋体"/>
          <w:spacing w:val="-2"/>
          <w:sz w:val="24"/>
          <w:szCs w:val="24"/>
          <w:highlight w:val="none"/>
          <w:lang w:eastAsia="zh-CN"/>
        </w:rPr>
        <w:t>投资者在投资理财前应仔细阅读理财产品销售文件</w:t>
      </w:r>
      <w:r>
        <w:rPr>
          <w:rFonts w:hint="eastAsia" w:ascii="宋体" w:hAnsi="宋体" w:eastAsia="宋体" w:cs="宋体"/>
          <w:spacing w:val="-1"/>
          <w:sz w:val="24"/>
          <w:szCs w:val="24"/>
          <w:highlight w:val="none"/>
          <w:lang w:eastAsia="zh-CN"/>
        </w:rPr>
        <w:t>（</w:t>
      </w:r>
      <w:r>
        <w:rPr>
          <w:rFonts w:hint="eastAsia" w:ascii="宋体" w:hAnsi="宋体" w:eastAsia="宋体" w:cs="宋体"/>
          <w:spacing w:val="-2"/>
          <w:sz w:val="24"/>
          <w:szCs w:val="24"/>
          <w:highlight w:val="none"/>
          <w:lang w:eastAsia="zh-CN"/>
        </w:rPr>
        <w:t>包括本协议以及理财产品风险揭示书、理财产品投资协议书、理财产品说明书及投资者权益须知</w:t>
      </w:r>
      <w:r>
        <w:rPr>
          <w:rFonts w:hint="eastAsia" w:ascii="宋体" w:hAnsi="宋体" w:eastAsia="宋体" w:cs="宋体"/>
          <w:spacing w:val="-1"/>
          <w:sz w:val="24"/>
          <w:szCs w:val="24"/>
          <w:highlight w:val="none"/>
          <w:lang w:eastAsia="zh-CN"/>
        </w:rPr>
        <w:t>），并在购买理财产品后关注定期报告及相关公告情况，充分全面</w:t>
      </w:r>
      <w:r>
        <w:rPr>
          <w:rFonts w:hint="eastAsia" w:ascii="宋体" w:hAnsi="宋体" w:eastAsia="宋体" w:cs="宋体"/>
          <w:spacing w:val="-5"/>
          <w:sz w:val="24"/>
          <w:szCs w:val="24"/>
          <w:highlight w:val="none"/>
          <w:lang w:eastAsia="zh-CN"/>
        </w:rPr>
        <w:t>了解理财产品的具体情况和投资风险。投资者在办理相关理财业务过程中可在</w:t>
      </w:r>
      <w:r>
        <w:rPr>
          <w:rFonts w:hint="eastAsia" w:ascii="宋体" w:hAnsi="宋体" w:eastAsia="宋体" w:cs="宋体"/>
          <w:spacing w:val="-5"/>
          <w:sz w:val="24"/>
          <w:szCs w:val="24"/>
          <w:highlight w:val="none"/>
          <w:lang w:val="en-US" w:eastAsia="zh-CN"/>
        </w:rPr>
        <w:t>www.cqcbank.com</w:t>
      </w:r>
      <w:r>
        <w:rPr>
          <w:rFonts w:hint="eastAsia" w:ascii="宋体" w:hAnsi="宋体" w:eastAsia="宋体" w:cs="宋体"/>
          <w:spacing w:val="-2"/>
          <w:sz w:val="24"/>
          <w:szCs w:val="24"/>
          <w:highlight w:val="none"/>
          <w:lang w:eastAsia="zh-CN"/>
        </w:rPr>
        <w:t>查阅上述材料。</w:t>
      </w:r>
    </w:p>
    <w:p>
      <w:pPr>
        <w:pStyle w:val="4"/>
        <w:adjustRightInd w:val="0"/>
        <w:snapToGrid w:val="0"/>
        <w:spacing w:before="1" w:line="312" w:lineRule="auto"/>
        <w:ind w:left="0" w:right="220" w:rightChars="100" w:firstLine="516" w:firstLineChars="200"/>
        <w:contextualSpacing/>
        <w:jc w:val="both"/>
        <w:rPr>
          <w:rFonts w:hint="eastAsia" w:ascii="宋体" w:hAnsi="宋体" w:eastAsia="宋体" w:cs="宋体"/>
          <w:b/>
          <w:spacing w:val="-3"/>
          <w:sz w:val="24"/>
          <w:szCs w:val="24"/>
          <w:highlight w:val="none"/>
          <w:lang w:eastAsia="zh-CN"/>
        </w:rPr>
      </w:pPr>
      <w:r>
        <w:rPr>
          <w:rFonts w:hint="eastAsia" w:ascii="宋体" w:hAnsi="宋体" w:eastAsia="宋体" w:cs="宋体"/>
          <w:bCs/>
          <w:spacing w:val="1"/>
          <w:w w:val="107"/>
          <w:sz w:val="24"/>
          <w:szCs w:val="24"/>
          <w:highlight w:val="none"/>
          <w:lang w:eastAsia="zh-CN"/>
        </w:rPr>
        <w:t>3</w:t>
      </w:r>
      <w:r>
        <w:rPr>
          <w:rFonts w:hint="eastAsia" w:ascii="宋体" w:hAnsi="宋体" w:eastAsia="宋体" w:cs="宋体"/>
          <w:bCs/>
          <w:spacing w:val="-1"/>
          <w:sz w:val="24"/>
          <w:szCs w:val="24"/>
          <w:highlight w:val="none"/>
          <w:lang w:eastAsia="zh-CN"/>
        </w:rPr>
        <w:t>、</w:t>
      </w:r>
      <w:r>
        <w:rPr>
          <w:rFonts w:hint="eastAsia" w:ascii="宋体" w:hAnsi="宋体" w:eastAsia="宋体" w:cs="宋体"/>
          <w:spacing w:val="-3"/>
          <w:sz w:val="24"/>
          <w:szCs w:val="24"/>
          <w:highlight w:val="none"/>
          <w:lang w:eastAsia="zh-CN"/>
        </w:rPr>
        <w:t>根据代理销售的理财产品的投资范围、投资资产比例、流动性等，重庆银行代理销售的理财产品风险评级</w:t>
      </w:r>
      <w:r>
        <w:rPr>
          <w:rFonts w:hint="eastAsia" w:ascii="宋体" w:hAnsi="宋体" w:eastAsia="宋体" w:cs="宋体"/>
          <w:spacing w:val="-3"/>
          <w:sz w:val="24"/>
          <w:szCs w:val="24"/>
          <w:highlight w:val="none"/>
          <w:lang w:val="en-US" w:eastAsia="zh-CN"/>
        </w:rPr>
        <w:t>分</w:t>
      </w:r>
      <w:r>
        <w:rPr>
          <w:rFonts w:hint="eastAsia" w:ascii="宋体" w:hAnsi="宋体" w:eastAsia="宋体" w:cs="宋体"/>
          <w:spacing w:val="-3"/>
          <w:sz w:val="24"/>
          <w:szCs w:val="24"/>
          <w:highlight w:val="none"/>
          <w:lang w:eastAsia="zh-CN"/>
        </w:rPr>
        <w:t>为低风险产品（PR1）、</w:t>
      </w:r>
      <w:r>
        <w:rPr>
          <w:rFonts w:hint="eastAsia" w:ascii="宋体" w:hAnsi="宋体" w:eastAsia="宋体" w:cs="宋体"/>
          <w:spacing w:val="-3"/>
          <w:sz w:val="24"/>
          <w:szCs w:val="24"/>
          <w:highlight w:val="none"/>
          <w:lang w:val="en-US" w:eastAsia="zh-CN"/>
        </w:rPr>
        <w:t>中</w:t>
      </w:r>
      <w:r>
        <w:rPr>
          <w:rFonts w:hint="eastAsia" w:ascii="宋体" w:hAnsi="宋体" w:eastAsia="宋体" w:cs="宋体"/>
          <w:spacing w:val="-3"/>
          <w:sz w:val="24"/>
          <w:szCs w:val="24"/>
          <w:highlight w:val="none"/>
          <w:lang w:eastAsia="zh-CN"/>
        </w:rPr>
        <w:t>低风险产品（PR2）、中风险产品（PR3）、</w:t>
      </w:r>
      <w:r>
        <w:rPr>
          <w:rFonts w:hint="eastAsia" w:ascii="宋体" w:hAnsi="宋体" w:eastAsia="宋体" w:cs="宋体"/>
          <w:spacing w:val="-3"/>
          <w:sz w:val="24"/>
          <w:szCs w:val="24"/>
          <w:highlight w:val="none"/>
          <w:lang w:val="en-US" w:eastAsia="zh-CN"/>
        </w:rPr>
        <w:t>中</w:t>
      </w:r>
      <w:r>
        <w:rPr>
          <w:rFonts w:hint="eastAsia" w:ascii="宋体" w:hAnsi="宋体" w:eastAsia="宋体" w:cs="宋体"/>
          <w:spacing w:val="-3"/>
          <w:sz w:val="24"/>
          <w:szCs w:val="24"/>
          <w:highlight w:val="none"/>
          <w:lang w:eastAsia="zh-CN"/>
        </w:rPr>
        <w:t>高风险产品（PR4）、高风险产品（PR5）</w:t>
      </w:r>
      <w:r>
        <w:rPr>
          <w:rFonts w:hint="eastAsia" w:ascii="宋体" w:hAnsi="宋体" w:eastAsia="宋体" w:cs="宋体"/>
          <w:spacing w:val="-4"/>
          <w:sz w:val="24"/>
          <w:szCs w:val="24"/>
          <w:highlight w:val="none"/>
          <w:lang w:eastAsia="zh-CN"/>
        </w:rPr>
        <w:t>。</w:t>
      </w:r>
      <w:r>
        <w:rPr>
          <w:rFonts w:hint="eastAsia" w:ascii="宋体" w:hAnsi="宋体" w:eastAsia="宋体" w:cs="宋体"/>
          <w:b/>
          <w:spacing w:val="-3"/>
          <w:sz w:val="24"/>
          <w:szCs w:val="24"/>
          <w:highlight w:val="none"/>
          <w:lang w:eastAsia="zh-CN"/>
        </w:rPr>
        <w:t>除非与重庆银行在营业网点当面书面约定，</w:t>
      </w:r>
      <w:r>
        <w:rPr>
          <w:rFonts w:hint="eastAsia" w:ascii="宋体" w:hAnsi="宋体" w:eastAsia="宋体" w:cs="宋体"/>
          <w:b/>
          <w:spacing w:val="-4"/>
          <w:sz w:val="24"/>
          <w:szCs w:val="24"/>
          <w:highlight w:val="none"/>
          <w:lang w:eastAsia="zh-CN"/>
        </w:rPr>
        <w:t>个人投资者不得</w:t>
      </w:r>
      <w:r>
        <w:rPr>
          <w:rFonts w:hint="eastAsia" w:ascii="宋体" w:hAnsi="宋体" w:eastAsia="宋体" w:cs="宋体"/>
          <w:b/>
          <w:spacing w:val="-2"/>
          <w:sz w:val="24"/>
          <w:szCs w:val="24"/>
          <w:highlight w:val="none"/>
          <w:lang w:eastAsia="zh-CN"/>
        </w:rPr>
        <w:t>购买理财产品风险评级为</w:t>
      </w:r>
      <w:r>
        <w:rPr>
          <w:rFonts w:hint="eastAsia" w:ascii="宋体" w:hAnsi="宋体" w:eastAsia="宋体" w:cs="宋体"/>
          <w:b/>
          <w:spacing w:val="-3"/>
          <w:sz w:val="24"/>
          <w:szCs w:val="24"/>
          <w:highlight w:val="none"/>
          <w:lang w:val="en-US" w:eastAsia="zh-CN"/>
        </w:rPr>
        <w:t>中高风险（PR4）</w:t>
      </w:r>
      <w:r>
        <w:rPr>
          <w:rFonts w:hint="eastAsia" w:ascii="宋体" w:hAnsi="宋体" w:eastAsia="宋体" w:cs="宋体"/>
          <w:b/>
          <w:spacing w:val="-1"/>
          <w:sz w:val="24"/>
          <w:szCs w:val="24"/>
          <w:highlight w:val="none"/>
          <w:lang w:eastAsia="zh-CN"/>
        </w:rPr>
        <w:t>（含</w:t>
      </w:r>
      <w:r>
        <w:rPr>
          <w:rFonts w:hint="eastAsia" w:ascii="宋体" w:hAnsi="宋体" w:eastAsia="宋体" w:cs="宋体"/>
          <w:b/>
          <w:spacing w:val="-8"/>
          <w:sz w:val="24"/>
          <w:szCs w:val="24"/>
          <w:highlight w:val="none"/>
          <w:lang w:eastAsia="zh-CN"/>
        </w:rPr>
        <w:t>）</w:t>
      </w:r>
      <w:r>
        <w:rPr>
          <w:rFonts w:hint="eastAsia" w:ascii="宋体" w:hAnsi="宋体" w:eastAsia="宋体" w:cs="宋体"/>
          <w:b/>
          <w:spacing w:val="-1"/>
          <w:sz w:val="24"/>
          <w:szCs w:val="24"/>
          <w:highlight w:val="none"/>
          <w:lang w:eastAsia="zh-CN"/>
        </w:rPr>
        <w:t>以上的产</w:t>
      </w:r>
      <w:r>
        <w:rPr>
          <w:rFonts w:hint="eastAsia" w:ascii="宋体" w:hAnsi="宋体" w:eastAsia="宋体" w:cs="宋体"/>
          <w:b/>
          <w:spacing w:val="-3"/>
          <w:sz w:val="24"/>
          <w:szCs w:val="24"/>
          <w:highlight w:val="none"/>
          <w:lang w:eastAsia="zh-CN"/>
        </w:rPr>
        <w:t>品。</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4、投资者购买的理财产品通过重庆银行渠道代理销售的，理财产品风险评级应当以重庆银行最终披露的评级结果为准。商业银行理财子公司与重庆银行的产品风险评级结果不一致的，重庆银行应当按照孰高原则采用并披露评级结果。重庆银行根据商业银行理财子公司通知及时披露风险等级变动情况，并根据产品及投资者信息变化情况，主动调整适当性匹配意见，及时告知投资者。</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b/>
          <w:spacing w:val="-3"/>
          <w:sz w:val="24"/>
          <w:szCs w:val="24"/>
          <w:highlight w:val="none"/>
          <w:lang w:eastAsia="zh-CN"/>
        </w:rPr>
      </w:pPr>
      <w:r>
        <w:rPr>
          <w:rFonts w:hint="eastAsia" w:ascii="宋体" w:hAnsi="宋体" w:eastAsia="宋体" w:cs="宋体"/>
          <w:spacing w:val="-3"/>
          <w:sz w:val="24"/>
          <w:szCs w:val="24"/>
          <w:highlight w:val="none"/>
          <w:lang w:eastAsia="zh-CN"/>
        </w:rPr>
        <w:t>5、投资者应当准确定位自身的投资预期及风险承受能力，确保投资行为与自身的风险承受能力相匹配，不得购买高于自身风险承受能力的理财产品。重庆银行履行投资者评估、适当性匹配等适当性义务。</w:t>
      </w:r>
      <w:r>
        <w:rPr>
          <w:rFonts w:hint="eastAsia" w:ascii="宋体" w:hAnsi="宋体" w:eastAsia="宋体" w:cs="宋体"/>
          <w:b/>
          <w:bCs/>
          <w:spacing w:val="-3"/>
          <w:sz w:val="24"/>
          <w:szCs w:val="24"/>
          <w:highlight w:val="none"/>
          <w:lang w:eastAsia="zh-CN"/>
        </w:rPr>
        <w:t>投资者如超过一年未进行风险承受能力评估或发生可能影响自身风险承受能力情况的，请及时在重庆银行重新完成风险承受能力评估</w:t>
      </w:r>
      <w:r>
        <w:rPr>
          <w:rFonts w:hint="eastAsia" w:ascii="宋体" w:hAnsi="宋体" w:eastAsia="宋体" w:cs="宋体"/>
          <w:b/>
          <w:bCs/>
          <w:spacing w:val="-3"/>
          <w:sz w:val="24"/>
          <w:szCs w:val="24"/>
          <w:highlight w:val="none"/>
          <w:lang w:val="en-US" w:eastAsia="zh-CN"/>
        </w:rPr>
        <w:t>并</w:t>
      </w:r>
      <w:r>
        <w:rPr>
          <w:rFonts w:hint="eastAsia" w:ascii="宋体" w:hAnsi="宋体" w:eastAsia="宋体" w:cs="宋体"/>
          <w:b/>
          <w:bCs/>
          <w:spacing w:val="-3"/>
          <w:sz w:val="24"/>
          <w:szCs w:val="24"/>
          <w:highlight w:val="none"/>
          <w:lang w:eastAsia="zh-CN"/>
        </w:rPr>
        <w:t>确认评估结果。重庆银行对投资者进行风险承受能力评估单日不得超过两次，十二个月内累计不得超过八次。投资者风险承受能力评估等级与最近一次结果不一致的，经重庆银行对投资者进行提示，请投资者对变动情况再次确认。</w:t>
      </w:r>
    </w:p>
    <w:p>
      <w:pPr>
        <w:pStyle w:val="4"/>
        <w:adjustRightInd w:val="0"/>
        <w:snapToGrid w:val="0"/>
        <w:spacing w:before="1" w:line="312" w:lineRule="auto"/>
        <w:ind w:left="0" w:right="220" w:rightChars="100" w:firstLine="470" w:firstLineChars="200"/>
        <w:contextualSpacing/>
        <w:jc w:val="both"/>
        <w:rPr>
          <w:rFonts w:hint="eastAsia" w:ascii="宋体" w:hAnsi="宋体" w:eastAsia="宋体" w:cs="宋体"/>
          <w:b/>
          <w:spacing w:val="-3"/>
          <w:sz w:val="24"/>
          <w:szCs w:val="24"/>
          <w:highlight w:val="none"/>
          <w:lang w:eastAsia="zh-CN"/>
        </w:rPr>
      </w:pPr>
      <w:r>
        <w:rPr>
          <w:rFonts w:hint="eastAsia" w:ascii="宋体" w:hAnsi="宋体" w:eastAsia="宋体" w:cs="宋体"/>
          <w:b/>
          <w:spacing w:val="-3"/>
          <w:sz w:val="24"/>
          <w:szCs w:val="24"/>
          <w:highlight w:val="none"/>
          <w:lang w:eastAsia="zh-CN"/>
        </w:rPr>
        <w:t>6、无民事行为能力人不得购买重庆银行渠道代理销售的理财产品。经法定代理人同意的，限制民事行为能力人仅可购买重庆银行渠道代理销售的低风险理财产品。对于六十五周岁以上的老年人，</w:t>
      </w:r>
      <w:r>
        <w:rPr>
          <w:rFonts w:hint="eastAsia" w:ascii="宋体" w:hAnsi="宋体" w:eastAsia="宋体" w:cs="宋体"/>
          <w:b/>
          <w:spacing w:val="-3"/>
          <w:sz w:val="24"/>
          <w:szCs w:val="24"/>
          <w:highlight w:val="none"/>
          <w:lang w:val="en-US" w:eastAsia="zh-CN"/>
        </w:rPr>
        <w:t>如果其风评结果为平衡型（含）及以上，</w:t>
      </w:r>
      <w:r>
        <w:rPr>
          <w:rFonts w:hint="eastAsia" w:ascii="宋体" w:hAnsi="宋体" w:eastAsia="宋体" w:cs="宋体"/>
          <w:b/>
          <w:spacing w:val="-3"/>
          <w:sz w:val="24"/>
          <w:szCs w:val="24"/>
          <w:highlight w:val="none"/>
          <w:lang w:eastAsia="zh-CN"/>
        </w:rPr>
        <w:t>重庆银行将</w:t>
      </w:r>
      <w:r>
        <w:rPr>
          <w:rFonts w:hint="eastAsia" w:ascii="宋体" w:hAnsi="宋体" w:eastAsia="宋体" w:cs="宋体"/>
          <w:b/>
          <w:spacing w:val="-3"/>
          <w:sz w:val="24"/>
          <w:szCs w:val="24"/>
          <w:highlight w:val="none"/>
          <w:lang w:val="en-US" w:eastAsia="zh-CN"/>
        </w:rPr>
        <w:t>对其风评结果调整为稳健型</w:t>
      </w:r>
      <w:r>
        <w:rPr>
          <w:rFonts w:hint="eastAsia" w:ascii="宋体" w:hAnsi="宋体" w:eastAsia="宋体" w:cs="宋体"/>
          <w:b/>
          <w:spacing w:val="-3"/>
          <w:sz w:val="24"/>
          <w:szCs w:val="24"/>
          <w:highlight w:val="none"/>
          <w:lang w:eastAsia="zh-CN"/>
        </w:rPr>
        <w:t>。</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7、投资者保证投资资金来源合法且为本人自有金，不存在使用贷款、发行债券等筹集的非自有资金投资的情况，投资行为符合法律、法规及相关监管部门的规定。</w:t>
      </w:r>
    </w:p>
    <w:p>
      <w:pPr>
        <w:pStyle w:val="4"/>
        <w:adjustRightInd w:val="0"/>
        <w:snapToGrid w:val="0"/>
        <w:spacing w:before="1" w:line="312" w:lineRule="auto"/>
        <w:ind w:left="0" w:right="220" w:rightChars="100" w:firstLine="470" w:firstLineChars="200"/>
        <w:contextualSpacing/>
        <w:jc w:val="both"/>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8、投资者承诺所提供的所有资料真实、完整、合法、有效，如有变更，投资者应及时到重庆银行办理变更手续。若投资者未及时办理相关变更手续，由此导致的一切后果由投资者自行承担，重庆银行对此不承担任何责任。</w:t>
      </w:r>
    </w:p>
    <w:p>
      <w:pPr>
        <w:pStyle w:val="4"/>
        <w:adjustRightInd w:val="0"/>
        <w:snapToGrid w:val="0"/>
        <w:spacing w:before="1" w:line="312" w:lineRule="auto"/>
        <w:ind w:left="0" w:right="220" w:rightChars="100" w:firstLine="470" w:firstLineChars="200"/>
        <w:contextualSpacing/>
        <w:jc w:val="both"/>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9、因投资者指定资金账户资金余额不足或处于非正常状态（包括但不限于挂失、冻结、销户等状态）导致重庆银行无法按时办理扣款或到期理财资金及收益无法入账，或者引起其他一切风险与损失的，均由投资者自行承担，重庆银行不承担责任。</w:t>
      </w:r>
    </w:p>
    <w:p>
      <w:pPr>
        <w:pStyle w:val="4"/>
        <w:adjustRightInd w:val="0"/>
        <w:snapToGrid w:val="0"/>
        <w:spacing w:before="1" w:line="312" w:lineRule="auto"/>
        <w:ind w:left="0" w:right="220" w:rightChars="100" w:firstLine="470" w:firstLineChars="200"/>
        <w:contextualSpacing/>
        <w:jc w:val="both"/>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10、投资者通过重庆银行重庆等渠道成功提交的委托申请，仅代表重庆银行代理商业银行理财子公司受理了该笔委托，交易最终成功与否以商业银行理财子公司确认为准，投资者应于理财产品交易确认日后的次日通过重庆银行重庆等渠道查询确认情况。由于投资者未及时查询交易确认情况而导致的投资损失，由投资者自行承担。</w:t>
      </w:r>
    </w:p>
    <w:p>
      <w:pPr>
        <w:pStyle w:val="4"/>
        <w:adjustRightInd w:val="0"/>
        <w:snapToGrid w:val="0"/>
        <w:spacing w:before="1" w:line="312" w:lineRule="auto"/>
        <w:ind w:left="0" w:right="220" w:rightChars="100" w:firstLine="470"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b/>
          <w:bCs/>
          <w:spacing w:val="-3"/>
          <w:sz w:val="24"/>
          <w:szCs w:val="24"/>
          <w:highlight w:val="none"/>
          <w:lang w:eastAsia="zh-CN"/>
        </w:rPr>
        <w:t>11、投资者应当配合重庆银行开展反洗钱、反恐怖融资、反大规模杀伤性武器扩散融资及非居民金融账户涉税信息尽职调查等工作，并向重庆银行提供投资者身份信息及法律法规规定的其他信息。投资者授权同意重庆银行作为代理销售机构有权通过加密安全的方式将投资者的交易记录、风险承受能力评估、姓名、身份证号码等投资者信息和交易资料及法律法规规定的其他信息提供给商业银行理财子公司、中国银行业理财信息登记中心、中国人民银行</w:t>
      </w:r>
      <w:r>
        <w:rPr>
          <w:rFonts w:hint="eastAsia" w:ascii="宋体" w:hAnsi="宋体" w:eastAsia="宋体" w:cs="宋体"/>
          <w:b/>
          <w:bCs/>
          <w:spacing w:val="-3"/>
          <w:sz w:val="24"/>
          <w:szCs w:val="24"/>
          <w:highlight w:val="none"/>
          <w:lang w:val="en-US" w:eastAsia="zh-CN"/>
        </w:rPr>
        <w:t>或</w:t>
      </w:r>
      <w:r>
        <w:rPr>
          <w:rFonts w:hint="eastAsia" w:ascii="宋体" w:hAnsi="宋体" w:eastAsia="宋体" w:cs="宋体"/>
          <w:b/>
          <w:bCs/>
          <w:spacing w:val="-3"/>
          <w:sz w:val="24"/>
          <w:szCs w:val="24"/>
          <w:highlight w:val="none"/>
          <w:lang w:eastAsia="zh-CN"/>
        </w:rPr>
        <w:t>国家金融监督管理总局及其派出机构等监管机构以履行反洗钱、反恐怖融资及非居民金融账户涉税信息尽职调查等金融机构法定义务。同时，重庆银行将通过加密安全的方式从商业银行理财子公司处获取投资者的相关交易信息，以满足交易查询等业务需求。</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12、重庆银行信息披露渠道为</w:t>
      </w:r>
      <w:r>
        <w:rPr>
          <w:rFonts w:hint="eastAsia" w:ascii="宋体" w:hAnsi="宋体" w:eastAsia="宋体" w:cs="宋体"/>
          <w:spacing w:val="-5"/>
          <w:sz w:val="24"/>
          <w:szCs w:val="24"/>
          <w:highlight w:val="none"/>
          <w:lang w:val="en-US" w:eastAsia="zh-CN"/>
        </w:rPr>
        <w:t>www.cqcbank.com</w:t>
      </w:r>
      <w:r>
        <w:rPr>
          <w:rFonts w:hint="eastAsia" w:ascii="宋体" w:hAnsi="宋体" w:eastAsia="宋体" w:cs="宋体"/>
          <w:spacing w:val="-3"/>
          <w:sz w:val="24"/>
          <w:szCs w:val="24"/>
          <w:highlight w:val="none"/>
          <w:lang w:eastAsia="zh-CN"/>
        </w:rPr>
        <w:t>。</w:t>
      </w:r>
    </w:p>
    <w:p>
      <w:pPr>
        <w:pStyle w:val="4"/>
        <w:adjustRightInd w:val="0"/>
        <w:snapToGrid w:val="0"/>
        <w:spacing w:before="1" w:line="312" w:lineRule="auto"/>
        <w:ind w:left="0" w:right="220" w:rightChars="100" w:firstLine="470" w:firstLineChars="200"/>
        <w:contextualSpacing/>
        <w:jc w:val="both"/>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13、为使重庆银行充分了解面向特定对象销售的理财产品的投资者信息，投资者授权同意重庆银行作为代理销售机构收集、核验投资者金融资产证明、收入证明或纳税凭证等材料。重庆银行履行投资者信息保护义务，确保投资者信息安全。</w:t>
      </w:r>
    </w:p>
    <w:p>
      <w:pPr>
        <w:pStyle w:val="2"/>
        <w:adjustRightInd w:val="0"/>
        <w:snapToGrid w:val="0"/>
        <w:spacing w:before="67" w:line="312" w:lineRule="auto"/>
        <w:ind w:left="0" w:right="220" w:rightChars="100" w:firstLine="474" w:firstLineChars="200"/>
        <w:contextualSpacing/>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二、免责条款</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1、由于地震、火灾、战争、疫情、严重传染病等不可抗力导致的交易中断、延误等风险及损失，重庆银行不承担责任，但应在条件允许的情况下通知投资者，并采取一切必要的补救措施以减小不可抗力造成的损失。</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2、由于国家的有关法律、法规、规则、政策的改变、紧急措施的出台而导致的风险，重庆银行不承担责任。</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3、非因重庆银行责任（包括但不限于理财产品投资者遗失理财产品销售文件、理财产品销售文件被盗用、投资者交易账户被司法机关等有权部门冻结、扣划等原因）造成的损失，重庆银行不承担责任。</w:t>
      </w:r>
    </w:p>
    <w:p>
      <w:pPr>
        <w:pStyle w:val="2"/>
        <w:adjustRightInd w:val="0"/>
        <w:snapToGrid w:val="0"/>
        <w:spacing w:before="67" w:line="312" w:lineRule="auto"/>
        <w:ind w:left="0" w:right="220" w:rightChars="100" w:firstLine="474" w:firstLineChars="200"/>
        <w:contextualSpacing/>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三、协议的生效和终止</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1、本协议自投资者在重庆银行柜面签署（自然人投资者应当签名、机构投资者应当由法定代表人/负责人或其授权代表签名并加盖公章）或在重庆银行网上银行、手机银行等渠道点击同意后且满足理财产品销售文件</w:t>
      </w:r>
      <w:r>
        <w:rPr>
          <w:rFonts w:hint="eastAsia" w:ascii="宋体" w:hAnsi="宋体" w:eastAsia="宋体" w:cs="宋体"/>
          <w:spacing w:val="-1"/>
          <w:sz w:val="24"/>
          <w:szCs w:val="24"/>
          <w:highlight w:val="none"/>
          <w:lang w:eastAsia="zh-CN"/>
        </w:rPr>
        <w:t>（</w:t>
      </w:r>
      <w:r>
        <w:rPr>
          <w:rFonts w:hint="eastAsia" w:ascii="宋体" w:hAnsi="宋体" w:eastAsia="宋体" w:cs="宋体"/>
          <w:spacing w:val="-2"/>
          <w:sz w:val="24"/>
          <w:szCs w:val="24"/>
          <w:highlight w:val="none"/>
          <w:lang w:eastAsia="zh-CN"/>
        </w:rPr>
        <w:t>包括本协议以及理财产品风险揭示书、理财产品投资协议书、理财产品说明书及投资者权益须知</w:t>
      </w:r>
      <w:r>
        <w:rPr>
          <w:rFonts w:hint="eastAsia" w:ascii="宋体" w:hAnsi="宋体" w:eastAsia="宋体" w:cs="宋体"/>
          <w:spacing w:val="-1"/>
          <w:sz w:val="24"/>
          <w:szCs w:val="24"/>
          <w:highlight w:val="none"/>
          <w:lang w:eastAsia="zh-CN"/>
        </w:rPr>
        <w:t>）</w:t>
      </w:r>
      <w:r>
        <w:rPr>
          <w:rFonts w:hint="eastAsia" w:ascii="宋体" w:hAnsi="宋体" w:eastAsia="宋体" w:cs="宋体"/>
          <w:spacing w:val="-3"/>
          <w:sz w:val="24"/>
          <w:szCs w:val="24"/>
          <w:highlight w:val="none"/>
          <w:lang w:eastAsia="zh-CN"/>
        </w:rPr>
        <w:t>全部生效要件之日起生效。</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2、理财产品销售文件（包括本协议及</w:t>
      </w:r>
      <w:r>
        <w:rPr>
          <w:rFonts w:hint="eastAsia" w:ascii="宋体" w:hAnsi="宋体" w:eastAsia="宋体" w:cs="宋体"/>
          <w:spacing w:val="-2"/>
          <w:sz w:val="24"/>
          <w:szCs w:val="24"/>
          <w:highlight w:val="none"/>
          <w:lang w:eastAsia="zh-CN"/>
        </w:rPr>
        <w:t>理财产品风险揭示书、理财产品投资协议书、理财产品说明书及投资者权益须知</w:t>
      </w:r>
      <w:r>
        <w:rPr>
          <w:rFonts w:hint="eastAsia" w:ascii="宋体" w:hAnsi="宋体" w:eastAsia="宋体" w:cs="宋体"/>
          <w:spacing w:val="-3"/>
          <w:sz w:val="24"/>
          <w:szCs w:val="24"/>
          <w:highlight w:val="none"/>
          <w:lang w:eastAsia="zh-CN"/>
        </w:rPr>
        <w:t>）项下各方权利义务履行完毕之日，本协议自动终止。</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3、本协议一式贰份，重庆银行壹份，投资者壹份，具有同等法律效力。</w:t>
      </w:r>
    </w:p>
    <w:p>
      <w:pPr>
        <w:pStyle w:val="2"/>
        <w:adjustRightInd w:val="0"/>
        <w:snapToGrid w:val="0"/>
        <w:spacing w:before="67" w:line="312" w:lineRule="auto"/>
        <w:ind w:left="0" w:right="220" w:rightChars="100" w:firstLine="474" w:firstLineChars="200"/>
        <w:contextualSpacing/>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四、信息保密</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1、重庆银行将根据相关法律、法规严格履行投资者信息保密责任，除监管机构、司法机关等有权机构以及商业银行理财子公司外，不得对其他第三方提供任何投资者信息。</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2、重庆银行客观完整地记录适当性管理的重点环节，妥善保存相关信息资料，包括但不限于产品评级结果、投资者评估结果、告知提示资料、录音录像资料等，确保适当性管理过程可回溯。相关资料保存期限不低于重庆银行与投资者理财产品销售文件</w:t>
      </w:r>
      <w:r>
        <w:rPr>
          <w:rFonts w:hint="eastAsia" w:ascii="宋体" w:hAnsi="宋体" w:eastAsia="宋体" w:cs="宋体"/>
          <w:spacing w:val="-1"/>
          <w:sz w:val="24"/>
          <w:szCs w:val="24"/>
          <w:highlight w:val="none"/>
          <w:lang w:eastAsia="zh-CN"/>
        </w:rPr>
        <w:t>（</w:t>
      </w:r>
      <w:r>
        <w:rPr>
          <w:rFonts w:hint="eastAsia" w:ascii="宋体" w:hAnsi="宋体" w:eastAsia="宋体" w:cs="宋体"/>
          <w:spacing w:val="-2"/>
          <w:sz w:val="24"/>
          <w:szCs w:val="24"/>
          <w:highlight w:val="none"/>
          <w:lang w:eastAsia="zh-CN"/>
        </w:rPr>
        <w:t>包括本协议以及理财产品风险揭示书、理财产品投资协议书、理财产品说明书及投资者权益须知</w:t>
      </w:r>
      <w:r>
        <w:rPr>
          <w:rFonts w:hint="eastAsia" w:ascii="宋体" w:hAnsi="宋体" w:eastAsia="宋体" w:cs="宋体"/>
          <w:spacing w:val="-1"/>
          <w:sz w:val="24"/>
          <w:szCs w:val="24"/>
          <w:highlight w:val="none"/>
          <w:lang w:eastAsia="zh-CN"/>
        </w:rPr>
        <w:t>）</w:t>
      </w:r>
      <w:r>
        <w:rPr>
          <w:rFonts w:hint="eastAsia" w:ascii="宋体" w:hAnsi="宋体" w:eastAsia="宋体" w:cs="宋体"/>
          <w:spacing w:val="-3"/>
          <w:sz w:val="24"/>
          <w:szCs w:val="24"/>
          <w:highlight w:val="none"/>
          <w:lang w:eastAsia="zh-CN"/>
        </w:rPr>
        <w:t>后五年</w:t>
      </w:r>
      <w:r>
        <w:rPr>
          <w:rFonts w:hint="eastAsia" w:eastAsia="宋体"/>
          <w:highlight w:val="none"/>
          <w:lang w:eastAsia="zh-CN"/>
        </w:rPr>
        <w:t>。</w:t>
      </w:r>
    </w:p>
    <w:p>
      <w:pPr>
        <w:pStyle w:val="2"/>
        <w:adjustRightInd w:val="0"/>
        <w:snapToGrid w:val="0"/>
        <w:spacing w:before="67" w:line="312" w:lineRule="auto"/>
        <w:ind w:left="0" w:right="220" w:rightChars="100" w:firstLine="474" w:firstLineChars="200"/>
        <w:contextualSpacing/>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五、法律适用和争议处理</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1、本协议及其他理财产品销售文件（包括理财产品风险揭示书、理财产品投资协议书、理财产品说明书及投资者权益须知）适用中华人民共和国法律（为本协议之目的，在此不包括香港特别行政区、澳门特别行政区和台湾地区的法律）管辖，并按其解释。</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2、因本协议引起或与本协议有关的任何争议，由重庆银行与投资者协商解决，协商不成的，</w:t>
      </w:r>
      <w:r>
        <w:rPr>
          <w:rFonts w:hint="eastAsia" w:ascii="宋体" w:hAnsi="宋体" w:eastAsia="宋体" w:cs="黑体"/>
          <w:sz w:val="24"/>
          <w:highlight w:val="none"/>
          <w:lang w:val="en-US" w:eastAsia="zh-CN"/>
        </w:rPr>
        <w:t>应提交销售机构或管理人所在地人民法院诉讼解决</w:t>
      </w:r>
      <w:r>
        <w:rPr>
          <w:rFonts w:hint="eastAsia" w:ascii="宋体" w:hAnsi="宋体" w:eastAsia="宋体" w:cs="宋体"/>
          <w:spacing w:val="-3"/>
          <w:sz w:val="24"/>
          <w:szCs w:val="24"/>
          <w:highlight w:val="none"/>
          <w:lang w:eastAsia="zh-CN"/>
        </w:rPr>
        <w:t>。在诉讼期间，本协议不涉及争议部分的条款仍需履行。</w:t>
      </w:r>
    </w:p>
    <w:p>
      <w:pPr>
        <w:pStyle w:val="2"/>
        <w:adjustRightInd w:val="0"/>
        <w:snapToGrid w:val="0"/>
        <w:spacing w:before="67" w:line="312" w:lineRule="auto"/>
        <w:ind w:left="0" w:right="220" w:rightChars="100" w:firstLine="474" w:firstLineChars="200"/>
        <w:contextualSpacing/>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六、投诉方式</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投资者如认为重庆银行推介、销售产品时有不实或未尽风险告知职责或其他疑义事项，或对理财产品、重庆银行及商业银行理财子公司服务有任何意见或建议，投资者可通过拨打重庆银行客户服务热线（023-956023）、或至重庆银行营业网点等方式进行反馈，重庆银行将由专人接听、记录您的意见或建议。</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r>
        <w:rPr>
          <w:rFonts w:hint="eastAsia" w:ascii="宋体" w:hAnsi="宋体" w:eastAsia="宋体" w:cs="宋体"/>
          <w:spacing w:val="-3"/>
          <w:sz w:val="24"/>
          <w:szCs w:val="24"/>
          <w:highlight w:val="none"/>
          <w:lang w:eastAsia="zh-CN"/>
        </w:rPr>
        <w:t>重庆银行承诺，将加强投诉统计分析，及时发现和处理侵害投资者合法权益的问题。对于投诉处理中发现的违规行为，重庆银行将依照相关规定追究直接责任人员和管理人员责任，发现涉嫌违法犯罪的，将及时移送司法机关处理。</w:t>
      </w:r>
    </w:p>
    <w:p>
      <w:pPr>
        <w:pStyle w:val="4"/>
        <w:adjustRightInd w:val="0"/>
        <w:snapToGrid w:val="0"/>
        <w:spacing w:before="1" w:line="312" w:lineRule="auto"/>
        <w:ind w:left="0" w:right="220" w:rightChars="100" w:firstLine="468" w:firstLineChars="200"/>
        <w:contextualSpacing/>
        <w:jc w:val="both"/>
        <w:rPr>
          <w:rFonts w:hint="eastAsia" w:ascii="宋体" w:hAnsi="宋体" w:eastAsia="宋体" w:cs="宋体"/>
          <w:spacing w:val="-3"/>
          <w:sz w:val="24"/>
          <w:szCs w:val="24"/>
          <w:highlight w:val="none"/>
          <w:lang w:eastAsia="zh-CN"/>
        </w:rPr>
      </w:pPr>
    </w:p>
    <w:p>
      <w:pPr>
        <w:rPr>
          <w:rFonts w:hint="eastAsia" w:ascii="宋体" w:hAnsi="宋体" w:eastAsia="宋体" w:cs="宋体"/>
          <w:bCs/>
          <w:color w:val="4D4D4D"/>
          <w:sz w:val="24"/>
          <w:szCs w:val="24"/>
          <w:highlight w:val="none"/>
          <w:lang w:eastAsia="zh-CN"/>
        </w:rPr>
      </w:pPr>
    </w:p>
    <w:p>
      <w:pPr>
        <w:rPr>
          <w:rFonts w:hint="eastAsia" w:ascii="宋体" w:hAnsi="宋体" w:eastAsia="宋体" w:cs="宋体"/>
          <w:bCs/>
          <w:color w:val="4D4D4D"/>
          <w:sz w:val="24"/>
          <w:szCs w:val="24"/>
          <w:highlight w:val="none"/>
          <w:lang w:eastAsia="zh-CN"/>
        </w:rPr>
      </w:pP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【投资者为自然人投资者时】</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 xml:space="preserve">投资者姓名（签名）：              </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 xml:space="preserve">证件类型及号码：                    </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手机号码：</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签署日期：    年  月  日</w:t>
      </w:r>
    </w:p>
    <w:p>
      <w:pPr>
        <w:rPr>
          <w:rFonts w:hint="eastAsia" w:ascii="宋体" w:hAnsi="宋体" w:eastAsia="宋体" w:cs="宋体"/>
          <w:bCs/>
          <w:color w:val="4D4D4D"/>
          <w:sz w:val="24"/>
          <w:szCs w:val="24"/>
          <w:highlight w:val="none"/>
          <w:lang w:eastAsia="zh-CN"/>
        </w:rPr>
      </w:pP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【投资者为机构投资者时】</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投资者名称（盖章）：</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法定代表人/负责人/授权代表（签名）：</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联系方式：</w:t>
      </w:r>
    </w:p>
    <w:p>
      <w:pPr>
        <w:rPr>
          <w:rFonts w:hint="eastAsia" w:ascii="宋体" w:hAnsi="宋体" w:eastAsia="宋体" w:cs="宋体"/>
          <w:bCs/>
          <w:color w:val="4D4D4D"/>
          <w:sz w:val="24"/>
          <w:szCs w:val="24"/>
          <w:highlight w:val="none"/>
          <w:lang w:eastAsia="zh-CN"/>
        </w:rPr>
      </w:pPr>
      <w:r>
        <w:rPr>
          <w:rFonts w:hint="eastAsia" w:ascii="宋体" w:hAnsi="宋体" w:eastAsia="宋体" w:cs="宋体"/>
          <w:bCs/>
          <w:color w:val="4D4D4D"/>
          <w:sz w:val="24"/>
          <w:szCs w:val="24"/>
          <w:highlight w:val="none"/>
          <w:lang w:eastAsia="zh-CN"/>
        </w:rPr>
        <w:t>签署日期：    年  月  日</w:t>
      </w:r>
    </w:p>
    <w:p>
      <w:pPr>
        <w:rPr>
          <w:rFonts w:hint="eastAsia" w:ascii="宋体" w:hAnsi="宋体" w:eastAsia="宋体" w:cs="宋体"/>
          <w:b/>
          <w:color w:val="4D4D4D"/>
          <w:sz w:val="24"/>
          <w:szCs w:val="24"/>
          <w:highlight w:val="none"/>
          <w:lang w:eastAsia="zh-CN"/>
        </w:rPr>
      </w:pPr>
    </w:p>
    <w:p>
      <w:pPr>
        <w:rPr>
          <w:rFonts w:hint="eastAsia" w:ascii="宋体" w:hAnsi="宋体" w:eastAsia="宋体" w:cs="宋体"/>
          <w:b/>
          <w:color w:val="4D4D4D"/>
          <w:sz w:val="24"/>
          <w:szCs w:val="24"/>
          <w:highlight w:val="none"/>
          <w:lang w:eastAsia="zh-CN"/>
        </w:rPr>
      </w:pPr>
    </w:p>
    <w:p>
      <w:pPr>
        <w:rPr>
          <w:rFonts w:hint="eastAsia" w:ascii="宋体" w:hAnsi="宋体" w:eastAsia="宋体" w:cs="宋体"/>
          <w:b/>
          <w:color w:val="4D4D4D"/>
          <w:sz w:val="24"/>
          <w:szCs w:val="24"/>
          <w:highlight w:val="none"/>
          <w:lang w:eastAsia="zh-CN"/>
        </w:rPr>
      </w:pPr>
      <w:r>
        <w:rPr>
          <w:rFonts w:hint="eastAsia" w:ascii="宋体" w:hAnsi="宋体" w:eastAsia="宋体" w:cs="宋体"/>
          <w:b/>
          <w:color w:val="4D4D4D"/>
          <w:sz w:val="24"/>
          <w:szCs w:val="24"/>
          <w:highlight w:val="none"/>
          <w:lang w:eastAsia="zh-CN"/>
        </w:rPr>
        <w:t>代理销售机构：</w:t>
      </w:r>
      <w:r>
        <w:rPr>
          <w:rFonts w:hint="eastAsia" w:ascii="宋体" w:hAnsi="宋体" w:eastAsia="宋体" w:cs="宋体"/>
          <w:b/>
          <w:bCs/>
          <w:spacing w:val="-1"/>
          <w:sz w:val="24"/>
          <w:szCs w:val="24"/>
          <w:highlight w:val="none"/>
          <w:lang w:eastAsia="zh-CN"/>
        </w:rPr>
        <w:t>重庆银行股份有限公司</w:t>
      </w:r>
      <w:r>
        <w:rPr>
          <w:rFonts w:hint="eastAsia" w:ascii="宋体" w:hAnsi="宋体" w:eastAsia="宋体" w:cs="宋体"/>
          <w:b/>
          <w:bCs/>
          <w:color w:val="4D4D4D"/>
          <w:sz w:val="24"/>
          <w:szCs w:val="24"/>
          <w:highlight w:val="none"/>
          <w:lang w:eastAsia="zh-CN"/>
        </w:rPr>
        <w:t xml:space="preserve"> </w:t>
      </w:r>
    </w:p>
    <w:p>
      <w:pPr>
        <w:rPr>
          <w:rFonts w:hint="eastAsia"/>
          <w:highlight w:val="none"/>
        </w:rPr>
      </w:pPr>
      <w:r>
        <w:rPr>
          <w:rFonts w:hint="eastAsia" w:ascii="宋体" w:hAnsi="宋体" w:eastAsia="宋体" w:cs="宋体"/>
          <w:b/>
          <w:color w:val="4D4D4D"/>
          <w:sz w:val="24"/>
          <w:szCs w:val="24"/>
          <w:highlight w:val="none"/>
        </w:rPr>
        <w:t>签署日期：    年  月  日</w:t>
      </w:r>
    </w:p>
    <w:sectPr>
      <w:type w:val="continuous"/>
      <w:pgSz w:w="11910" w:h="16840"/>
      <w:pgMar w:top="1440" w:right="1803" w:bottom="1553" w:left="1803"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Arial Unicode MS">
    <w:altName w:val="Arial"/>
    <w:panose1 w:val="020B0604020202020204"/>
    <w:charset w:val="80"/>
    <w:family w:val="roman"/>
    <w:pitch w:val="default"/>
    <w:sig w:usb0="00000000" w:usb1="00000000" w:usb2="0000003F" w:usb3="00000000" w:csb0="603F01FF" w:csb1="FFFF0000"/>
  </w:font>
  <w:font w:name="STKaitiSC-Black">
    <w:altName w:val="宋体"/>
    <w:panose1 w:val="00000000000000000000"/>
    <w:charset w:val="86"/>
    <w:family w:val="auto"/>
    <w:pitch w:val="default"/>
    <w:sig w:usb0="00000000" w:usb1="00000000" w:usb2="00000016" w:usb3="00000000" w:csb0="0004001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80"/>
    <w:family w:val="roman"/>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iNzdmMzNlZTcxNzY1ZGE1MTBiYTVmMjAwM2YxNmUifQ=="/>
  </w:docVars>
  <w:rsids>
    <w:rsidRoot w:val="22BB0174"/>
    <w:rsid w:val="00721F56"/>
    <w:rsid w:val="00A3405F"/>
    <w:rsid w:val="00A80647"/>
    <w:rsid w:val="00AC224F"/>
    <w:rsid w:val="00D2663C"/>
    <w:rsid w:val="014E0FB7"/>
    <w:rsid w:val="015679D0"/>
    <w:rsid w:val="02B56978"/>
    <w:rsid w:val="048207CA"/>
    <w:rsid w:val="05062F7D"/>
    <w:rsid w:val="05C709D3"/>
    <w:rsid w:val="08B51480"/>
    <w:rsid w:val="091C54CA"/>
    <w:rsid w:val="09423355"/>
    <w:rsid w:val="0E007A23"/>
    <w:rsid w:val="136F5020"/>
    <w:rsid w:val="17926292"/>
    <w:rsid w:val="18532767"/>
    <w:rsid w:val="194A4A7A"/>
    <w:rsid w:val="1D9962A2"/>
    <w:rsid w:val="1EB7274A"/>
    <w:rsid w:val="1F053FEF"/>
    <w:rsid w:val="2117483A"/>
    <w:rsid w:val="22BB0174"/>
    <w:rsid w:val="22D24721"/>
    <w:rsid w:val="240D651C"/>
    <w:rsid w:val="243F11DC"/>
    <w:rsid w:val="26A142AD"/>
    <w:rsid w:val="26A168A7"/>
    <w:rsid w:val="29D55E76"/>
    <w:rsid w:val="2E734AE6"/>
    <w:rsid w:val="30705F2D"/>
    <w:rsid w:val="37314419"/>
    <w:rsid w:val="37914637"/>
    <w:rsid w:val="38AC7283"/>
    <w:rsid w:val="3AC32FB7"/>
    <w:rsid w:val="3B334302"/>
    <w:rsid w:val="3B4162AE"/>
    <w:rsid w:val="3BB16FD5"/>
    <w:rsid w:val="3BBD07E1"/>
    <w:rsid w:val="432C4199"/>
    <w:rsid w:val="43670FED"/>
    <w:rsid w:val="495B6991"/>
    <w:rsid w:val="4ADF1390"/>
    <w:rsid w:val="4D480231"/>
    <w:rsid w:val="4DF37D88"/>
    <w:rsid w:val="4FF75F4F"/>
    <w:rsid w:val="503B6B0B"/>
    <w:rsid w:val="505843D2"/>
    <w:rsid w:val="529E60AD"/>
    <w:rsid w:val="52DF797E"/>
    <w:rsid w:val="53CE672C"/>
    <w:rsid w:val="54E164CF"/>
    <w:rsid w:val="55B87486"/>
    <w:rsid w:val="573945F7"/>
    <w:rsid w:val="59B66C46"/>
    <w:rsid w:val="5A958386"/>
    <w:rsid w:val="5C8B529D"/>
    <w:rsid w:val="5DA42F24"/>
    <w:rsid w:val="602640B5"/>
    <w:rsid w:val="615A5A67"/>
    <w:rsid w:val="61E8150A"/>
    <w:rsid w:val="630A3D21"/>
    <w:rsid w:val="63B514A9"/>
    <w:rsid w:val="6711084E"/>
    <w:rsid w:val="675A1A57"/>
    <w:rsid w:val="6764746E"/>
    <w:rsid w:val="6CEF31A0"/>
    <w:rsid w:val="74463A57"/>
    <w:rsid w:val="74A7522D"/>
    <w:rsid w:val="75B6546C"/>
    <w:rsid w:val="7873110A"/>
    <w:rsid w:val="79DC73BD"/>
    <w:rsid w:val="7AAEC5B6"/>
    <w:rsid w:val="FBF1778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Arial Unicode MS" w:hAnsi="Arial Unicode MS" w:eastAsia="Arial Unicode MS" w:cs="Arial Unicode MS"/>
      <w:sz w:val="22"/>
      <w:szCs w:val="22"/>
      <w:lang w:val="en-US" w:eastAsia="en-US" w:bidi="ar-SA"/>
    </w:rPr>
  </w:style>
  <w:style w:type="paragraph" w:styleId="2">
    <w:name w:val="heading 1"/>
    <w:basedOn w:val="1"/>
    <w:next w:val="1"/>
    <w:qFormat/>
    <w:uiPriority w:val="9"/>
    <w:pPr>
      <w:spacing w:before="2"/>
      <w:ind w:left="671"/>
      <w:outlineLvl w:val="0"/>
    </w:pPr>
    <w:rPr>
      <w:rFonts w:ascii="STKaitiSC-Black" w:hAnsi="STKaitiSC-Black" w:eastAsia="STKaitiSC-Black" w:cs="STKaitiSC-Black"/>
      <w:b/>
      <w:bCs/>
      <w:sz w:val="16"/>
      <w:szCs w:val="16"/>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spacing w:line="360" w:lineRule="auto"/>
    </w:pPr>
    <w:rPr>
      <w:rFonts w:eastAsia="宋体"/>
    </w:rPr>
  </w:style>
  <w:style w:type="paragraph" w:styleId="4">
    <w:name w:val="Body Text"/>
    <w:basedOn w:val="1"/>
    <w:qFormat/>
    <w:uiPriority w:val="1"/>
    <w:pPr>
      <w:ind w:left="352" w:firstLine="319"/>
    </w:pPr>
    <w:rPr>
      <w:sz w:val="16"/>
      <w:szCs w:val="16"/>
    </w:rPr>
  </w:style>
  <w:style w:type="paragraph" w:styleId="5">
    <w:name w:val="Body Text Indent"/>
    <w:basedOn w:val="1"/>
    <w:qFormat/>
    <w:uiPriority w:val="0"/>
    <w:pPr>
      <w:spacing w:after="120"/>
      <w:ind w:left="420" w:leftChars="200"/>
    </w:pPr>
    <w:rPr>
      <w:szCs w:val="21"/>
    </w:rPr>
  </w:style>
  <w:style w:type="paragraph" w:styleId="6">
    <w:name w:val="footer"/>
    <w:basedOn w:val="1"/>
    <w:link w:val="20"/>
    <w:qFormat/>
    <w:uiPriority w:val="0"/>
    <w:pPr>
      <w:tabs>
        <w:tab w:val="center" w:pos="4153"/>
        <w:tab w:val="right" w:pos="8306"/>
      </w:tabs>
      <w:snapToGrid w:val="0"/>
    </w:pPr>
    <w:rPr>
      <w:sz w:val="18"/>
      <w:szCs w:val="18"/>
    </w:rPr>
  </w:style>
  <w:style w:type="paragraph" w:styleId="7">
    <w:name w:val="Body Text First Indent 2"/>
    <w:basedOn w:val="5"/>
    <w:next w:val="4"/>
    <w:unhideWhenUsed/>
    <w:qFormat/>
    <w:uiPriority w:val="99"/>
    <w:pPr>
      <w:spacing w:after="0"/>
      <w:ind w:left="360" w:firstLine="360"/>
    </w:pPr>
  </w:style>
  <w:style w:type="paragraph" w:styleId="8">
    <w:name w:val="header"/>
    <w:basedOn w:val="1"/>
    <w:link w:val="19"/>
    <w:qFormat/>
    <w:uiPriority w:val="0"/>
    <w:pP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pPr>
    <w:rPr>
      <w:rFonts w:cs="Times New Roman"/>
      <w:sz w:val="24"/>
      <w:lang w:eastAsia="zh-CN"/>
    </w:rPr>
  </w:style>
  <w:style w:type="paragraph" w:styleId="10">
    <w:name w:val="Title"/>
    <w:basedOn w:val="1"/>
    <w:qFormat/>
    <w:uiPriority w:val="10"/>
    <w:pPr>
      <w:ind w:left="2403"/>
    </w:pPr>
    <w:rPr>
      <w:rFonts w:ascii="STKaitiSC-Black" w:hAnsi="STKaitiSC-Black" w:eastAsia="STKaitiSC-Black" w:cs="STKaitiSC-Black"/>
      <w:b/>
      <w:bCs/>
      <w:sz w:val="32"/>
      <w:szCs w:val="32"/>
    </w:rPr>
  </w:style>
  <w:style w:type="character" w:styleId="12">
    <w:name w:val="Hyperlink"/>
    <w:basedOn w:val="11"/>
    <w:qFormat/>
    <w:uiPriority w:val="0"/>
    <w:rPr>
      <w:color w:val="0000FF"/>
      <w:u w:val="single"/>
    </w:rPr>
  </w:style>
  <w:style w:type="character" w:styleId="13">
    <w:name w:val="annotation reference"/>
    <w:basedOn w:val="11"/>
    <w:unhideWhenUsed/>
    <w:qFormat/>
    <w:uiPriority w:val="99"/>
    <w:rPr>
      <w:sz w:val="21"/>
      <w:szCs w:val="21"/>
    </w:rPr>
  </w:style>
  <w:style w:type="character" w:customStyle="1" w:styleId="15">
    <w:name w:val="any"/>
    <w:basedOn w:val="11"/>
    <w:qFormat/>
    <w:uiPriority w:val="0"/>
  </w:style>
  <w:style w:type="paragraph" w:customStyle="1" w:styleId="16">
    <w:name w:val="p"/>
    <w:basedOn w:val="1"/>
    <w:qFormat/>
    <w:uiPriority w:val="0"/>
    <w:pPr>
      <w:spacing w:line="390" w:lineRule="atLeast"/>
      <w:ind w:firstLine="420"/>
      <w:textAlignment w:val="center"/>
    </w:pPr>
  </w:style>
  <w:style w:type="character" w:customStyle="1" w:styleId="17">
    <w:name w:val="span_sect2Title"/>
    <w:basedOn w:val="11"/>
    <w:qFormat/>
    <w:uiPriority w:val="0"/>
    <w:rPr>
      <w:b/>
      <w:bCs/>
    </w:rPr>
  </w:style>
  <w:style w:type="paragraph" w:customStyle="1" w:styleId="18">
    <w:name w:val="Revision"/>
    <w:hidden/>
    <w:unhideWhenUsed/>
    <w:qFormat/>
    <w:uiPriority w:val="99"/>
    <w:rPr>
      <w:rFonts w:ascii="Arial Unicode MS" w:hAnsi="Arial Unicode MS" w:eastAsia="Arial Unicode MS" w:cs="Arial Unicode MS"/>
      <w:sz w:val="22"/>
      <w:szCs w:val="22"/>
      <w:lang w:val="en-US" w:eastAsia="en-US" w:bidi="ar-SA"/>
    </w:rPr>
  </w:style>
  <w:style w:type="character" w:customStyle="1" w:styleId="19">
    <w:name w:val="页眉 字符"/>
    <w:basedOn w:val="11"/>
    <w:link w:val="8"/>
    <w:qFormat/>
    <w:uiPriority w:val="0"/>
    <w:rPr>
      <w:rFonts w:ascii="Arial Unicode MS" w:hAnsi="Arial Unicode MS" w:eastAsia="Arial Unicode MS" w:cs="Arial Unicode MS"/>
      <w:sz w:val="18"/>
      <w:szCs w:val="18"/>
      <w:lang w:eastAsia="en-US"/>
    </w:rPr>
  </w:style>
  <w:style w:type="character" w:customStyle="1" w:styleId="20">
    <w:name w:val="页脚 字符"/>
    <w:basedOn w:val="11"/>
    <w:link w:val="6"/>
    <w:qFormat/>
    <w:uiPriority w:val="0"/>
    <w:rPr>
      <w:rFonts w:ascii="Arial Unicode MS" w:hAnsi="Arial Unicode MS" w:eastAsia="Arial Unicode MS" w:cs="Arial Unicode MS"/>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ontractReview xmlns="http://schemas.wps.cn/vas-ai-hub/contract-review">
  <reviewItems>
    <reviewItem>
      <errorID>674221b3-4b70-4083-8840-d63f179b94f1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68A2898A</paraID>
      <start>0</start>
      <end>2</end>
      <status>unmodified</status>
      <modifiedWord/>
      <trackRevisions>false</trackRevisions>
    </reviewItem>
    <reviewItem>
      <errorID>cfc15191-7f57-41c5-ae3c-a4c3591051e7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5C9D57FE</paraID>
      <start>0</start>
      <end>2</end>
      <status>unmodified</status>
      <modifiedWord/>
      <trackRevisions>false</trackRevisions>
    </reviewItem>
    <reviewItem>
      <errorID>7ea47b7e-cf00-460b-b107-22e868dbdefb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7D6088E1</paraID>
      <start>0</start>
      <end>2</end>
      <status>unmodified</status>
      <modifiedWord/>
      <trackRevisions>false</trackRevisions>
    </reviewItem>
    <reviewItem>
      <errorID>e1be4b17-e4cb-4448-a22e-c1ff866d691c</errorID>
      <errorWord>为</errorWord>
      <group>L1_Word</group>
      <groupName>字词问题</groupName>
      <ability>L2_Typo</ability>
      <abilityName>字词错误</abilityName>
      <candidateList>
        <item>的</item>
      </candidateList>
      <explain>存在字形相近字词的误用。</explain>
      <paraID>7D6088E1</paraID>
      <start>161</start>
      <end>162</end>
      <status>unmodified</status>
      <modifiedWord/>
      <trackRevisions>false</trackRevisions>
    </reviewItem>
    <reviewItem>
      <errorID>ec8afbd1-2823-42ba-8052-eea04bb043c7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562B2E7D</paraID>
      <start>0</start>
      <end>2</end>
      <status>unmodified</status>
      <modifiedWord/>
      <trackRevisions>false</trackRevisions>
    </reviewItem>
    <reviewItem>
      <errorID>88d5bf89-3f2c-4240-b41f-f3293ce64ac5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A2F4E5A</paraID>
      <start>0</start>
      <end>2</end>
      <status>unmodified</status>
      <modifiedWord/>
      <trackRevisions>false</trackRevisions>
    </reviewItem>
    <reviewItem>
      <errorID>b6cf7b4c-3c5c-401e-a5c8-932e4878e686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BBC67BE</paraID>
      <start>0</start>
      <end>2</end>
      <status>unmodified</status>
      <modifiedWord/>
      <trackRevisions>false</trackRevisions>
    </reviewItem>
    <reviewItem>
      <errorID>5478da72-d7f5-40f0-8fa2-860ead02d16c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249C9381</paraID>
      <start>0</start>
      <end>2</end>
      <status>unmodified</status>
      <modifiedWord/>
      <trackRevisions>false</trackRevisions>
    </reviewItem>
    <reviewItem>
      <errorID>919caba9-35bf-4efc-a116-eed4bd11cb05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21BB9504</paraID>
      <start>0</start>
      <end>2</end>
      <status>unmodified</status>
      <modifiedWord/>
      <trackRevisions>false</trackRevisions>
    </reviewItem>
    <reviewItem>
      <errorID>feeec687-d689-4385-b399-1f93d9ba7860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741B9720</paraID>
      <start>0</start>
      <end>2</end>
      <status>unmodified</status>
      <modifiedWord/>
      <trackRevisions>false</trackRevisions>
    </reviewItem>
    <reviewItem>
      <errorID>da795045-01db-4f54-a227-4fa60c03f2ea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24B2E7D7</paraID>
      <start>0</start>
      <end>3</end>
      <status>unmodified</status>
      <modifiedWord/>
      <trackRevisions>false</trackRevisions>
    </reviewItem>
    <reviewItem>
      <errorID>1c4a0d6d-6623-49df-a74d-29f8b51b8b99</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ACA8289</paraID>
      <start>0</start>
      <end>3</end>
      <status>unmodified</status>
      <modifiedWord/>
      <trackRevisions>false</trackRevisions>
    </reviewItem>
    <reviewItem>
      <errorID>03fda938-0b31-4f53-ac31-959b7b0ddb31</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6161075B</paraID>
      <start>0</start>
      <end>3</end>
      <status>unmodified</status>
      <modifiedWord/>
      <trackRevisions>false</trackRevisions>
    </reviewItem>
    <reviewItem>
      <errorID>9ff5389a-c11f-4317-8b4d-5da60c0bd2b4</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4F6990A3</paraID>
      <start>0</start>
      <end>3</end>
      <status>unmodified</status>
      <modifiedWord/>
      <trackRevisions>false</trackRevisions>
    </reviewItem>
    <reviewItem>
      <errorID>83badfa5-60eb-4238-90a3-3d87cbe6c403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393C3461</paraID>
      <start>0</start>
      <end>2</end>
      <status>unmodified</status>
      <modifiedWord/>
      <trackRevisions>false</trackRevisions>
    </reviewItem>
    <reviewItem>
      <errorID>b715aacc-dd0f-4a8f-bfc6-70e29f154f08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6F45F58C</paraID>
      <start>0</start>
      <end>2</end>
      <status>unmodified</status>
      <modifiedWord/>
      <trackRevisions>false</trackRevisions>
    </reviewItem>
    <reviewItem>
      <errorID>94b2f151-b615-4c66-9991-7d3ffeff542f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2E9A0C9B</paraID>
      <start>0</start>
      <end>2</end>
      <status>unmodified</status>
      <modifiedWord/>
      <trackRevisions>false</trackRevisions>
    </reviewItem>
    <reviewItem>
      <errorID>38613f6e-aee6-48c0-9893-0d558d6233db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3D4F8AF2</paraID>
      <start>0</start>
      <end>2</end>
      <status>unmodified</status>
      <modifiedWord/>
      <trackRevisions>false</trackRevisions>
    </reviewItem>
    <reviewItem>
      <errorID>fd49902c-eaec-486c-8bf3-47806ad887e6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1668DBF2</paraID>
      <start>0</start>
      <end>2</end>
      <status>unmodified</status>
      <modifiedWord/>
      <trackRevisions>false</trackRevisions>
    </reviewItem>
    <reviewItem>
      <errorID>7021befe-96c1-48d0-874f-31699b8d3f66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3A3DFC2B</paraID>
      <start>0</start>
      <end>2</end>
      <status>unmodified</status>
      <modifiedWord/>
      <trackRevisions>false</trackRevisions>
    </reviewItem>
    <reviewItem>
      <errorID>3d83dfc6-a3e9-45a9-a324-45b5cabca2f8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4D5078B3</paraID>
      <start>0</start>
      <end>2</end>
      <status>unmodified</status>
      <modifiedWord/>
      <trackRevisions>false</trackRevisions>
    </reviewItem>
    <reviewItem>
      <errorID>d30d9ae0-04a5-4e2a-908c-204ffc46e298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29617947</paraID>
      <start>0</start>
      <end>2</end>
      <status>unmodified</status>
      <modifiedWord/>
      <trackRevisions>false</trackRevisions>
    </reviewItem>
    <reviewItem>
      <errorID>0b2d17c7-22bd-43f2-8f26-c8beb71d392e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3DA87CBC</paraID>
      <start>0</start>
      <end>2</end>
      <status>unmodified</status>
      <modifiedWord/>
      <trackRevisions>false</trackRevisions>
    </reviewItem>
    <reviewItem>
      <errorID>ae825f48-8169-4d18-a139-f61eb4dd03fd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1561E681</paraID>
      <start>0</start>
      <end>2</end>
      <status>unmodified</status>
      <modifiedWord/>
      <trackRevisions>false</trackRevisions>
    </reviewItem>
    <reviewItem>
      <errorID>47e9b857-bd6f-4a91-aba2-e3020d3085d0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7BE21F8F</paraID>
      <start>92</start>
      <end>94</end>
      <status>unmodified</status>
      <modifiedWord/>
      <trackRevisions>false</trackRevisions>
    </reviewItem>
    <reviewItem>
      <errorID>3cdf1f38-e333-4fda-bb69-35689d26d1a7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7BE21F8F</paraID>
      <start>103</start>
      <end>105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8DEA3-B8A7-44D0-9AF0-B57BED661502}">
  <ds:schemaRefs/>
</ds:datastoreItem>
</file>

<file path=docProps/app.xml><?xml version="1.0" encoding="utf-8"?>
<Properties xmlns="http://schemas.openxmlformats.org/officeDocument/2006/extended-properties" xmlns:vt="http://schemas.openxmlformats.org/officeDocument/2006/docPropsVTypes">
  <Template>Normal</Template>
  <Pages>4</Pages>
  <Words>3725</Words>
  <Characters>3769</Characters>
  <Lines>76</Lines>
  <Paragraphs>46</Paragraphs>
  <TotalTime>0</TotalTime>
  <ScaleCrop>false</ScaleCrop>
  <LinksUpToDate>false</LinksUpToDate>
  <CharactersWithSpaces>3831</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2023-12-12T03:01:00Z</dcterms:created>
  <dc:creator>宋爽 法律合规部</dc:creator>
  <cp:lastModifiedBy>沈兹玖_产品管理部</cp:lastModifiedBy>
  <dcterms:modified xsi:type="dcterms:W3CDTF">2026-03-30T09:02:53Z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3945DB74E62B413386DB1853A0F27BD6</vt:lpwstr>
  </property>
  <property fmtid="{D5CDD505-2E9C-101B-9397-08002B2CF9AE}" pid="4" name="KSOTemplateDocerSaveRecord">
    <vt:lpwstr>eyJoZGlkIjoiMWQxZTNiYmViODE3YzFlYTRjNTA5OWI3YzUyNTllMTAiLCJ1c2VySWQiOiI1NzYyNTY0ODcifQ==</vt:lpwstr>
  </property>
</Properties>
</file>