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bookmarkStart w:id="0" w:name="_GoBack"/>
      <w:bookmarkEnd w:id="0"/>
      <w:r>
        <w:rPr>
          <w:rFonts w:hint="eastAsia" w:ascii="黑体" w:eastAsia="黑体"/>
          <w:b/>
          <w:bCs/>
          <w:color w:val="000000" w:themeColor="text1"/>
          <w:sz w:val="30"/>
          <w:szCs w:val="30"/>
          <w:lang w:eastAsia="zh-CN"/>
          <w14:textFill>
            <w14:solidFill>
              <w14:schemeClr w14:val="tx1"/>
            </w14:solidFill>
          </w14:textFill>
        </w:rPr>
        <w:t>北银理财京华远见春系列全球配置60天持有期1号理财产品</w:t>
      </w:r>
    </w:p>
    <w:p>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（产品登记编码：Z7008925000631）</w:t>
      </w:r>
    </w:p>
    <w:p>
      <w:pPr>
        <w:tabs>
          <w:tab w:val="left" w:pos="915"/>
          <w:tab w:val="center" w:pos="5273"/>
        </w:tabs>
        <w:spacing w:before="50"/>
        <w:jc w:val="center"/>
        <w:outlineLvl w:val="0"/>
        <w:rPr>
          <w:rFonts w:ascii="宋体" w:hAnsi="宋体" w:cs="宋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投资者权益须知（代销版本）</w:t>
      </w:r>
    </w:p>
    <w:p>
      <w:pPr>
        <w:autoSpaceDE w:val="0"/>
        <w:autoSpaceDN w:val="0"/>
        <w:adjustRightInd w:val="0"/>
        <w:spacing w:line="360" w:lineRule="auto"/>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尊敬的投资者：</w:t>
      </w:r>
    </w:p>
    <w:p>
      <w:pPr>
        <w:widowControl/>
        <w:autoSpaceDE w:val="0"/>
        <w:autoSpaceDN w:val="0"/>
        <w:adjustRightInd w:val="0"/>
        <w:spacing w:line="360" w:lineRule="auto"/>
        <w:ind w:firstLine="420" w:firstLineChars="200"/>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pPr>
        <w:widowControl/>
        <w:autoSpaceDE w:val="0"/>
        <w:autoSpaceDN w:val="0"/>
        <w:adjustRightInd w:val="0"/>
        <w:spacing w:line="360" w:lineRule="auto"/>
        <w:ind w:firstLine="420" w:firstLineChars="200"/>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bidi="ar"/>
          <w14:textFill>
            <w14:solidFill>
              <w14:schemeClr w14:val="tx1"/>
            </w14:solidFill>
          </w14:textFill>
        </w:rPr>
        <w:t>为方便您办理理财业务，请仔细阅读以下内容。</w:t>
      </w:r>
      <w:r>
        <w:rPr>
          <w:rFonts w:hint="eastAsia" w:ascii="宋体" w:hAnsi="宋体" w:cs="宋体"/>
          <w:b/>
          <w:bCs/>
          <w:color w:val="000000" w:themeColor="text1"/>
          <w:szCs w:val="21"/>
          <w14:textFill>
            <w14:solidFill>
              <w14:schemeClr w14:val="tx1"/>
            </w14:solidFill>
          </w14:textFill>
        </w:rPr>
        <w:t>如对本理财产品销售文件或购买流程等有不明之处，请及时与代销机构相关人员进行咨询。在购买本理财产品后，请关注本理财产品的信息披露情况，及时获取相关信息。如对本理财产品有任何意见或建议，请关注产品管理人相关联络方式并予以反馈，或通过代销机构转达。</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9"/>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pPr>
        <w:autoSpaceDE w:val="0"/>
        <w:autoSpaceDN w:val="0"/>
        <w:adjustRightInd w:val="0"/>
        <w:spacing w:line="360" w:lineRule="auto"/>
        <w:ind w:firstLine="420"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一、投资者风险承受能力评估</w:t>
      </w:r>
    </w:p>
    <w:p>
      <w:pPr>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本理财产品全部销售工作及投资者适当性评估由代销机构负责。投资者首次通过代销机构购买北银理财理财产品的，需要与代销机构签署相关理财产品销售文件，并须按照该理财产品销售文件约定在代销机构销售渠道进行风险承受能力评估，并对评估结果签字确认。</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风险承受能力评估结果有效期为一年，如投资者超过一年未进行风险承受能力评估或发生可能影响自身风险承受能力情况的，再次购买理财产品时须在理财产品代销机构营业场所（含电子渠道）完成风险承受能力的重新评估。</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（三）投资者风险承受能力评估流程</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1.投资者在理财产品代销机构营业场所（含电子渠道）进行风险承受能力评估；</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2.填写代销机构投资者风险承受能力测试问卷；</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3.生成相应的投资者风险承受能力评估结果；</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4.投资者对评估结果进行确认。</w:t>
      </w:r>
    </w:p>
    <w:p>
      <w:pPr>
        <w:numPr>
          <w:ilvl w:val="0"/>
          <w:numId w:val="1"/>
        </w:numPr>
        <w:autoSpaceDE w:val="0"/>
        <w:autoSpaceDN w:val="0"/>
        <w:adjustRightInd w:val="0"/>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风险承受能力评估结果将作为评价投资者是否适合购买理财产品的重要因素，风险承受能力评级越高适合购买的理财产品风险评级越高，适合购买的理财产品类型越丰富。 </w:t>
      </w:r>
    </w:p>
    <w:p>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代销机构应确保投资者的风险承受能力等级评估结果不低于本理财产品风险评级结果。代销过程中，代销机构可参考北银理财的产品风险评级结果，自行判断确定本理财产品的风险评级。当代销机构对本理财产品的风险评级结果与北银理财产品风险评级结果不一致的，代销机构应当采用较高风险等级的产品风险评级结果并予以披露。</w:t>
      </w:r>
    </w:p>
    <w:p>
      <w:pPr>
        <w:autoSpaceDE w:val="0"/>
        <w:autoSpaceDN w:val="0"/>
        <w:adjustRightInd w:val="0"/>
        <w:spacing w:line="360" w:lineRule="auto"/>
        <w:ind w:firstLine="42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二、北银理财产品风险评级说明</w:t>
      </w:r>
    </w:p>
    <w:p>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北银理财所对应的产品风险评级说明详见下表。</w:t>
      </w:r>
    </w:p>
    <w:tbl>
      <w:tblPr>
        <w:tblStyle w:val="11"/>
        <w:tblW w:w="9409"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产品风险评级</w:t>
            </w:r>
          </w:p>
        </w:tc>
        <w:tc>
          <w:tcPr>
            <w:tcW w:w="4395"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产品风险评级说明</w:t>
            </w:r>
          </w:p>
        </w:tc>
        <w:tc>
          <w:tcPr>
            <w:tcW w:w="340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低风险产品（PR1）</w:t>
            </w:r>
          </w:p>
        </w:tc>
        <w:tc>
          <w:tcPr>
            <w:tcW w:w="4395" w:type="dxa"/>
            <w:vAlign w:val="top"/>
          </w:tcPr>
          <w:p>
            <w:pPr>
              <w:pStyle w:val="12"/>
              <w:spacing w:line="360" w:lineRule="auto"/>
              <w:jc w:val="both"/>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理财产品的总体风险低，净值波动小</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理财投资</w:t>
            </w:r>
            <w:r>
              <w:rPr>
                <w:rFonts w:hint="eastAsia" w:ascii="宋体" w:hAnsi="宋体" w:eastAsia="宋体" w:cs="宋体"/>
                <w:color w:val="000000" w:themeColor="text1"/>
                <w:kern w:val="2"/>
                <w:sz w:val="21"/>
                <w:szCs w:val="21"/>
                <w14:textFill>
                  <w14:solidFill>
                    <w14:schemeClr w14:val="tx1"/>
                  </w14:solidFill>
                </w14:textFill>
              </w:rPr>
              <w:t>本金</w:t>
            </w:r>
            <w:r>
              <w:rPr>
                <w:rFonts w:hint="eastAsia" w:ascii="宋体" w:hAnsi="宋体" w:eastAsia="宋体" w:cs="宋体"/>
                <w:color w:val="000000" w:themeColor="text1"/>
                <w:kern w:val="2"/>
                <w:sz w:val="21"/>
                <w:szCs w:val="21"/>
                <w:lang w:val="en-US" w:eastAsia="zh-CN"/>
                <w14:textFill>
                  <w14:solidFill>
                    <w14:schemeClr w14:val="tx1"/>
                  </w14:solidFill>
                </w14:textFill>
              </w:rPr>
              <w:t>遭受</w:t>
            </w:r>
            <w:r>
              <w:rPr>
                <w:rFonts w:hint="eastAsia" w:ascii="宋体" w:hAnsi="宋体" w:eastAsia="宋体" w:cs="宋体"/>
                <w:color w:val="000000" w:themeColor="text1"/>
                <w:kern w:val="2"/>
                <w:sz w:val="21"/>
                <w:szCs w:val="21"/>
                <w14:textFill>
                  <w14:solidFill>
                    <w14:schemeClr w14:val="tx1"/>
                  </w14:solidFill>
                </w14:textFill>
              </w:rPr>
              <w:t>损失的可能性低。</w:t>
            </w:r>
          </w:p>
        </w:tc>
        <w:tc>
          <w:tcPr>
            <w:tcW w:w="3402" w:type="dxa"/>
            <w:vAlign w:val="top"/>
          </w:tcPr>
          <w:p>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较低风险产品（PR2）</w:t>
            </w:r>
          </w:p>
        </w:tc>
        <w:tc>
          <w:tcPr>
            <w:tcW w:w="4395" w:type="dxa"/>
            <w:vAlign w:val="top"/>
          </w:tcPr>
          <w:p>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理财产品的总体风险较低，净值波动较小</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损失的可能性较低。</w:t>
            </w:r>
          </w:p>
        </w:tc>
        <w:tc>
          <w:tcPr>
            <w:tcW w:w="3402" w:type="dxa"/>
            <w:vAlign w:val="top"/>
          </w:tcPr>
          <w:p>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中等风险产品（PR3）</w:t>
            </w:r>
          </w:p>
        </w:tc>
        <w:tc>
          <w:tcPr>
            <w:tcW w:w="4395" w:type="dxa"/>
            <w:vAlign w:val="top"/>
          </w:tcPr>
          <w:p>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理财产品的总体风险中</w:t>
            </w:r>
            <w:r>
              <w:rPr>
                <w:rFonts w:hint="eastAsia" w:ascii="宋体" w:hAnsi="宋体" w:cs="宋体"/>
                <w:color w:val="000000" w:themeColor="text1"/>
                <w:szCs w:val="21"/>
                <w:lang w:val="en-US" w:eastAsia="zh-CN"/>
                <w14:textFill>
                  <w14:solidFill>
                    <w14:schemeClr w14:val="tx1"/>
                  </w14:solidFill>
                </w14:textFill>
              </w:rPr>
              <w:t>等</w:t>
            </w:r>
            <w:r>
              <w:rPr>
                <w:rFonts w:hint="eastAsia" w:ascii="宋体" w:hAnsi="宋体" w:cs="宋体"/>
                <w:color w:val="000000" w:themeColor="text1"/>
                <w:szCs w:val="21"/>
                <w14:textFill>
                  <w14:solidFill>
                    <w14:schemeClr w14:val="tx1"/>
                  </w14:solidFill>
                </w14:textFill>
              </w:rPr>
              <w:t>，净值</w:t>
            </w:r>
            <w:r>
              <w:rPr>
                <w:rFonts w:hint="eastAsia" w:ascii="宋体" w:hAnsi="宋体" w:eastAsia="宋体" w:cs="宋体"/>
                <w:color w:val="000000" w:themeColor="text1"/>
                <w:sz w:val="21"/>
                <w:szCs w:val="21"/>
                <w:highlight w:val="none"/>
                <w:lang w:eastAsia="zh-CN"/>
                <w14:textFill>
                  <w14:solidFill>
                    <w14:schemeClr w14:val="tx1"/>
                  </w14:solidFill>
                </w14:textFill>
              </w:rPr>
              <w:t>波动较大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w:t>
            </w:r>
            <w:r>
              <w:rPr>
                <w:rFonts w:hint="eastAsia" w:ascii="宋体" w:hAnsi="宋体" w:cs="宋体"/>
                <w:color w:val="000000" w:themeColor="text1"/>
                <w:szCs w:val="21"/>
                <w:lang w:val="en-US" w:eastAsia="zh-CN"/>
                <w14:textFill>
                  <w14:solidFill>
                    <w14:schemeClr w14:val="tx1"/>
                  </w14:solidFill>
                </w14:textFill>
              </w:rPr>
              <w:t>较高</w:t>
            </w:r>
            <w:r>
              <w:rPr>
                <w:rFonts w:hint="eastAsia" w:ascii="宋体" w:hAnsi="宋体" w:cs="宋体"/>
                <w:color w:val="000000" w:themeColor="text1"/>
                <w:szCs w:val="21"/>
                <w14:textFill>
                  <w14:solidFill>
                    <w14:schemeClr w14:val="tx1"/>
                  </w14:solidFill>
                </w14:textFill>
              </w:rPr>
              <w:t>。</w:t>
            </w:r>
          </w:p>
        </w:tc>
        <w:tc>
          <w:tcPr>
            <w:tcW w:w="3402" w:type="dxa"/>
            <w:vAlign w:val="top"/>
          </w:tcPr>
          <w:p>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较高风险产品（PR4）</w:t>
            </w:r>
          </w:p>
        </w:tc>
        <w:tc>
          <w:tcPr>
            <w:tcW w:w="4395" w:type="dxa"/>
            <w:vAlign w:val="top"/>
          </w:tcPr>
          <w:p>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理财产品的总体风险较高，净值</w:t>
            </w:r>
            <w:r>
              <w:rPr>
                <w:rFonts w:hint="eastAsia" w:ascii="宋体" w:hAnsi="宋体" w:eastAsia="宋体" w:cs="宋体"/>
                <w:color w:val="000000" w:themeColor="text1"/>
                <w:sz w:val="21"/>
                <w:szCs w:val="21"/>
                <w:lang w:eastAsia="zh-CN"/>
                <w14:textFill>
                  <w14:solidFill>
                    <w14:schemeClr w14:val="tx1"/>
                  </w14:solidFill>
                </w14:textFill>
              </w:rPr>
              <w:t>波动较大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损失的可能性高。</w:t>
            </w:r>
          </w:p>
        </w:tc>
        <w:tc>
          <w:tcPr>
            <w:tcW w:w="3402" w:type="dxa"/>
            <w:vAlign w:val="top"/>
          </w:tcPr>
          <w:p>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高风险产品（PR5）</w:t>
            </w:r>
          </w:p>
        </w:tc>
        <w:tc>
          <w:tcPr>
            <w:tcW w:w="4395" w:type="dxa"/>
            <w:vAlign w:val="top"/>
          </w:tcPr>
          <w:p>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理财产品的总体风险高，净值</w:t>
            </w:r>
            <w:r>
              <w:rPr>
                <w:rFonts w:hint="eastAsia" w:ascii="宋体" w:hAnsi="宋体" w:eastAsia="宋体" w:cs="宋体"/>
                <w:color w:val="000000" w:themeColor="text1"/>
                <w:sz w:val="21"/>
                <w:szCs w:val="21"/>
                <w:lang w:eastAsia="zh-CN"/>
                <w14:textFill>
                  <w14:solidFill>
                    <w14:schemeClr w14:val="tx1"/>
                  </w14:solidFill>
                </w14:textFill>
              </w:rPr>
              <w:t>波动</w:t>
            </w:r>
            <w:r>
              <w:rPr>
                <w:rFonts w:hint="eastAsia" w:ascii="宋体" w:hAnsi="宋体" w:cs="宋体"/>
                <w:color w:val="000000" w:themeColor="text1"/>
                <w:sz w:val="21"/>
                <w:szCs w:val="21"/>
                <w:lang w:val="en-US" w:eastAsia="zh-CN"/>
                <w14:textFill>
                  <w14:solidFill>
                    <w14:schemeClr w14:val="tx1"/>
                  </w14:solidFill>
                </w14:textFill>
              </w:rPr>
              <w:t>极</w:t>
            </w:r>
            <w:r>
              <w:rPr>
                <w:rFonts w:hint="eastAsia" w:ascii="宋体" w:hAnsi="宋体" w:eastAsia="宋体" w:cs="宋体"/>
                <w:color w:val="000000" w:themeColor="text1"/>
                <w:sz w:val="21"/>
                <w:szCs w:val="21"/>
                <w:lang w:eastAsia="zh-CN"/>
                <w14:textFill>
                  <w14:solidFill>
                    <w14:schemeClr w14:val="tx1"/>
                  </w14:solidFill>
                </w14:textFill>
              </w:rPr>
              <w:t>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损失的可能性极高。</w:t>
            </w:r>
          </w:p>
        </w:tc>
        <w:tc>
          <w:tcPr>
            <w:tcW w:w="3402" w:type="dxa"/>
            <w:vAlign w:val="top"/>
          </w:tcPr>
          <w:p>
            <w:pPr>
              <w:pStyle w:val="12"/>
              <w:spacing w:line="360" w:lineRule="auto"/>
              <w:jc w:val="both"/>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激进型的投资者</w:t>
            </w:r>
          </w:p>
        </w:tc>
      </w:tr>
    </w:tbl>
    <w:p>
      <w:pPr>
        <w:spacing w:line="360" w:lineRule="auto"/>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专业投资者具体管理要求</w:t>
      </w:r>
      <w:r>
        <w:rPr>
          <w:rFonts w:hint="eastAsia" w:ascii="宋体" w:hAnsi="宋体" w:cs="宋体"/>
          <w:color w:val="000000" w:themeColor="text1"/>
          <w:szCs w:val="21"/>
          <w14:textFill>
            <w14:solidFill>
              <w14:schemeClr w14:val="tx1"/>
            </w14:solidFill>
          </w14:textFill>
        </w:rPr>
        <w:t>以销售机构为准</w:t>
      </w:r>
      <w:r>
        <w:rPr>
          <w:rFonts w:hint="eastAsia" w:ascii="宋体" w:hAnsi="宋体" w:cs="宋体"/>
          <w:color w:val="000000" w:themeColor="text1"/>
          <w:szCs w:val="21"/>
          <w:lang w:eastAsia="zh-CN"/>
          <w14:textFill>
            <w14:solidFill>
              <w14:schemeClr w14:val="tx1"/>
            </w14:solidFill>
          </w14:textFill>
        </w:rPr>
        <w:t>。</w:t>
      </w:r>
    </w:p>
    <w:p>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三、代销机构代理销售理财产品的流程</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（一）首次在代销机构购买理财产品的投资者需开立相应资金账户，提供并确认正确的联系方式。 </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（二）首次在代销机构购买北银理财理财产品的投资者需进行投资者风险承受能力评估，并确认风险承受能力等级评估结果不低于本理财产品风险评级。</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（三）仔细阅读本理财产品完整销售文件，理解并确认本理财产品完整销售文件全部条款及产品风险。 </w:t>
      </w:r>
    </w:p>
    <w:p>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（四）确定购买金额，完成交易申请，并在北银理财系统确认投资者购买份额后及时进行查询。</w:t>
      </w:r>
    </w:p>
    <w:p>
      <w:pPr>
        <w:spacing w:line="360" w:lineRule="auto"/>
        <w:ind w:firstLine="420"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四、理财产品信息披露的方式、渠道和频率</w:t>
      </w:r>
    </w:p>
    <w:p>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信息披露的方式、渠道和频率，投资者可以根据《理财产品说明书》“十一、产品的信息披露”</w:t>
      </w:r>
      <w:r>
        <w:rPr>
          <w:rFonts w:hint="eastAsia" w:ascii="宋体" w:hAnsi="宋体" w:cs="宋体"/>
          <w:color w:val="000000" w:themeColor="text1"/>
          <w:szCs w:val="21"/>
          <w:lang w:val="en-US" w:eastAsia="zh-CN"/>
          <w14:textFill>
            <w14:solidFill>
              <w14:schemeClr w14:val="tx1"/>
            </w14:solidFill>
          </w14:textFill>
        </w:rPr>
        <w:t>及“</w:t>
      </w:r>
      <w:r>
        <w:rPr>
          <w:rFonts w:hint="eastAsia" w:ascii="宋体" w:hAnsi="宋体" w:cs="宋体"/>
          <w:color w:val="000000" w:themeColor="text1"/>
          <w:szCs w:val="21"/>
          <w14:textFill>
            <w14:solidFill>
              <w14:schemeClr w14:val="tx1"/>
            </w14:solidFill>
          </w14:textFill>
        </w:rPr>
        <w:t>十二、相关机构的概况</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部分的约定，或通过拨打代销机构客户服务热线以及通过代销机构营业网点进行查询。</w:t>
      </w:r>
    </w:p>
    <w:p>
      <w:pPr>
        <w:spacing w:line="360" w:lineRule="auto"/>
        <w:ind w:firstLine="412"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五、投资者投诉</w:t>
      </w:r>
      <w:r>
        <w:rPr>
          <w:rFonts w:hint="eastAsia" w:ascii="宋体" w:hAnsi="宋体" w:cs="宋体"/>
          <w:b/>
          <w:bCs/>
          <w:color w:val="000000" w:themeColor="text1"/>
          <w:szCs w:val="21"/>
          <w:lang w:val="en-US" w:eastAsia="zh-CN"/>
          <w14:textFill>
            <w14:solidFill>
              <w14:schemeClr w14:val="tx1"/>
            </w14:solidFill>
          </w14:textFill>
        </w:rPr>
        <w:t>途径、</w:t>
      </w:r>
      <w:r>
        <w:rPr>
          <w:rFonts w:hint="eastAsia" w:ascii="宋体" w:hAnsi="宋体" w:cs="宋体"/>
          <w:b/>
          <w:bCs/>
          <w:color w:val="000000" w:themeColor="text1"/>
          <w:szCs w:val="21"/>
          <w14:textFill>
            <w14:solidFill>
              <w14:schemeClr w14:val="tx1"/>
            </w14:solidFill>
          </w14:textFill>
        </w:rPr>
        <w:t>方式和程序</w:t>
      </w:r>
    </w:p>
    <w:p>
      <w:pPr>
        <w:spacing w:line="360" w:lineRule="auto"/>
        <w:ind w:firstLine="411" w:firstLineChars="196"/>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如认为代销机构推介、销售产品时有不实或未尽风险告知职责或其他疑义事项，或对本理财产品、代销机构及产品管理人服务有任何意见或建议，投资者可通过拨打代销机构客户服务热线或至代销机构营业网点等方式进行反馈，代销机构将由专人接听、记录您的意见或建议，并由双方协商共同解决。</w:t>
      </w:r>
    </w:p>
    <w:p>
      <w:pPr>
        <w:spacing w:line="360" w:lineRule="auto"/>
        <w:ind w:firstLine="412"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六、联络方式</w:t>
      </w:r>
    </w:p>
    <w:p>
      <w:pPr>
        <w:spacing w:line="360" w:lineRule="auto"/>
        <w:ind w:firstLine="411"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（一）代销机构的联络方式</w:t>
      </w:r>
    </w:p>
    <w:p>
      <w:pPr>
        <w:keepNext w:val="0"/>
        <w:keepLines w:val="0"/>
        <w:widowControl w:val="0"/>
        <w:suppressLineNumbers w:val="0"/>
        <w:spacing w:before="0" w:beforeAutospacing="0" w:after="0" w:afterAutospacing="0" w:line="360" w:lineRule="auto"/>
        <w:ind w:left="0" w:right="0" w:firstLine="411" w:firstLineChars="196"/>
        <w:jc w:val="both"/>
        <w:outlineLvl w:val="0"/>
        <w:rPr>
          <w:rFonts w:hint="eastAsia" w:ascii="宋体" w:hAnsi="宋体" w:eastAsia="宋体" w:cs="宋体"/>
          <w:color w:val="000000"/>
          <w:kern w:val="2"/>
          <w:sz w:val="21"/>
          <w:szCs w:val="21"/>
          <w:lang w:eastAsia="zh"/>
        </w:rPr>
      </w:pPr>
      <w:r>
        <w:rPr>
          <w:rFonts w:hint="eastAsia" w:ascii="宋体" w:hAnsi="宋体" w:eastAsia="宋体" w:cs="宋体"/>
          <w:color w:val="000000"/>
          <w:kern w:val="2"/>
          <w:sz w:val="21"/>
          <w:szCs w:val="21"/>
          <w:lang w:val="en-US" w:eastAsia="zh-CN" w:bidi="ar"/>
        </w:rPr>
        <w:t>A类份额：</w:t>
      </w:r>
      <w:r>
        <w:rPr>
          <w:rFonts w:hint="eastAsia" w:ascii="宋体" w:hAnsi="宋体" w:cs="宋体"/>
          <w:color w:val="000000" w:themeColor="text1"/>
          <w:szCs w:val="21"/>
          <w:lang w:eastAsia="zh" w:bidi="ar"/>
          <w14:textFill>
            <w14:solidFill>
              <w14:schemeClr w14:val="tx1"/>
            </w14:solidFill>
          </w14:textFill>
        </w:rPr>
        <w:t>重庆银行股份有限公司</w:t>
      </w:r>
    </w:p>
    <w:p>
      <w:pPr>
        <w:keepNext w:val="0"/>
        <w:keepLines w:val="0"/>
        <w:widowControl w:val="0"/>
        <w:suppressLineNumbers w:val="0"/>
        <w:spacing w:before="0" w:beforeAutospacing="0" w:after="0" w:afterAutospacing="0" w:line="360" w:lineRule="auto"/>
        <w:ind w:left="0" w:right="0" w:firstLine="411" w:firstLineChars="196"/>
        <w:jc w:val="both"/>
        <w:outlineLvl w:val="0"/>
        <w:rPr>
          <w:rFonts w:hint="eastAsia" w:ascii="宋体" w:hAnsi="宋体" w:eastAsia="宋体" w:cs="宋体"/>
          <w:color w:val="000000"/>
          <w:kern w:val="2"/>
          <w:sz w:val="21"/>
          <w:szCs w:val="21"/>
          <w:lang w:eastAsia="zh"/>
        </w:rPr>
      </w:pPr>
      <w:r>
        <w:rPr>
          <w:rFonts w:hint="eastAsia" w:ascii="宋体" w:hAnsi="宋体" w:eastAsia="宋体" w:cs="宋体"/>
          <w:color w:val="000000"/>
          <w:kern w:val="2"/>
          <w:sz w:val="21"/>
          <w:szCs w:val="21"/>
          <w:lang w:val="en-US" w:eastAsia="zh-CN" w:bidi="ar"/>
        </w:rPr>
        <w:t>客户服务热线：</w:t>
      </w:r>
      <w:r>
        <w:rPr>
          <w:rFonts w:hint="eastAsia" w:ascii="宋体" w:hAnsi="宋体" w:cs="宋体"/>
          <w:color w:val="000000"/>
          <w:kern w:val="2"/>
          <w:sz w:val="21"/>
          <w:szCs w:val="21"/>
          <w:lang w:val="en-US" w:eastAsia="zh" w:bidi="ar"/>
        </w:rPr>
        <w:t>023-956023</w:t>
      </w:r>
    </w:p>
    <w:p>
      <w:pPr>
        <w:spacing w:line="360" w:lineRule="auto"/>
        <w:ind w:firstLine="411" w:firstLineChars="196"/>
        <w:outlineLvl w:val="0"/>
        <w:rPr>
          <w:rFonts w:hint="eastAsia" w:ascii="宋体" w:hAnsi="宋体" w:eastAsia="宋体" w:cs="宋体"/>
          <w:color w:val="000000" w:themeColor="text1"/>
          <w:szCs w:val="21"/>
          <w:lang w:eastAsia="zh"/>
          <w14:textFill>
            <w14:solidFill>
              <w14:schemeClr w14:val="tx1"/>
            </w14:solidFill>
          </w14:textFill>
        </w:rPr>
      </w:pPr>
      <w:r>
        <w:rPr>
          <w:rFonts w:hint="eastAsia" w:ascii="宋体" w:hAnsi="宋体" w:eastAsia="宋体" w:cs="宋体"/>
          <w:color w:val="000000"/>
          <w:kern w:val="2"/>
          <w:sz w:val="21"/>
          <w:szCs w:val="21"/>
          <w:lang w:val="en-US" w:eastAsia="zh-CN" w:bidi="ar"/>
        </w:rPr>
        <w:t>官方网站：</w:t>
      </w:r>
      <w:r>
        <w:rPr>
          <w:rFonts w:hint="eastAsia" w:ascii="宋体" w:hAnsi="宋体" w:cs="宋体"/>
          <w:color w:val="000000"/>
          <w:kern w:val="2"/>
          <w:sz w:val="21"/>
          <w:szCs w:val="21"/>
          <w:lang w:val="en-US" w:eastAsia="zh" w:bidi="ar"/>
        </w:rPr>
        <w:t>www.cqbank.com</w:t>
      </w:r>
    </w:p>
    <w:p>
      <w:pPr>
        <w:numPr>
          <w:ilvl w:val="0"/>
          <w:numId w:val="2"/>
        </w:numPr>
        <w:spacing w:line="360" w:lineRule="auto"/>
        <w:ind w:firstLine="411" w:firstLineChars="196"/>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产品管理人的联络方式</w:t>
      </w:r>
    </w:p>
    <w:p>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北银理财通讯地址：北京市西城区金融大街甲9号金融街中心大厦A座11层，邮编：100035</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val="0"/>
          <w:bCs w:val="0"/>
          <w:color w:val="000000" w:themeColor="text1"/>
          <w:szCs w:val="21"/>
          <w:lang w:val="en-US" w:eastAsia="zh-CN"/>
          <w14:textFill>
            <w14:solidFill>
              <w14:schemeClr w14:val="tx1"/>
            </w14:solidFill>
          </w14:textFill>
        </w:rPr>
        <w:t>北银理财官方网站：</w:t>
      </w:r>
      <w:r>
        <w:rPr>
          <w:rFonts w:hint="eastAsia" w:ascii="宋体" w:hAnsi="宋体" w:cs="宋体"/>
          <w:color w:val="000000" w:themeColor="text1"/>
          <w:szCs w:val="21"/>
          <w14:textFill>
            <w14:solidFill>
              <w14:schemeClr w14:val="tx1"/>
            </w14:solidFill>
          </w14:textFill>
        </w:rPr>
        <w:t>www.beijingbobwealth.com.cn</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声明：本人/本公司知悉《风险揭示书》、《理财产品投资协议书》、《理财产品说明书》、《投资者权益须知》和《销售（代理销售）协议书》等共同构成本理财产品完整的不可分割的理财产品销售文件，本人/本公司确认已经收到本理财产品完整销售文件，且已经认真阅读、理解并接受所有条款及相关法律规定，确认已经获得满意的信息披露，理解并认可本理财产品的性质、风险及可能的损失，并愿意承担且有能力承担该等风险。</w:t>
      </w:r>
    </w:p>
    <w:p>
      <w:pPr>
        <w:pStyle w:val="5"/>
        <w:jc w:val="left"/>
        <w:rPr>
          <w:rFonts w:hint="eastAsia" w:ascii="宋体" w:hAnsi="宋体" w:eastAsia="宋体" w:cs="宋体"/>
          <w:color w:val="000000" w:themeColor="text1"/>
          <w:sz w:val="21"/>
          <w:szCs w:val="21"/>
          <w14:textFill>
            <w14:solidFill>
              <w14:schemeClr w14:val="tx1"/>
            </w14:solidFill>
          </w14:textFill>
        </w:rPr>
      </w:pPr>
    </w:p>
    <w:p>
      <w:pPr>
        <w:pStyle w:val="5"/>
        <w:jc w:val="left"/>
        <w:rPr>
          <w:rFonts w:hint="eastAsia" w:ascii="宋体" w:hAnsi="宋体" w:eastAsia="宋体" w:cs="宋体"/>
          <w:color w:val="000000" w:themeColor="text1"/>
          <w:sz w:val="21"/>
          <w:szCs w:val="21"/>
          <w14:textFill>
            <w14:solidFill>
              <w14:schemeClr w14:val="tx1"/>
            </w14:solidFill>
          </w14:textFill>
        </w:rPr>
      </w:pPr>
    </w:p>
    <w:p>
      <w:pPr>
        <w:pStyle w:val="5"/>
        <w:jc w:val="left"/>
        <w:rPr>
          <w:rFonts w:hint="eastAsia" w:ascii="宋体" w:hAnsi="宋体" w:eastAsia="宋体" w:cs="宋体"/>
          <w:color w:val="000000" w:themeColor="text1"/>
          <w:sz w:val="21"/>
          <w:szCs w:val="21"/>
          <w14:textFill>
            <w14:solidFill>
              <w14:schemeClr w14:val="tx1"/>
            </w14:solidFill>
          </w14:textFill>
        </w:rPr>
      </w:pPr>
    </w:p>
    <w:p>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投资者权益须知</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pPr>
        <w:spacing w:line="360" w:lineRule="auto"/>
        <w:ind w:firstLine="420" w:firstLineChars="200"/>
        <w:rPr>
          <w:rFonts w:ascii="宋体" w:hAnsi="宋体" w:cs="宋体"/>
          <w:b/>
          <w:bCs/>
          <w:color w:val="000000" w:themeColor="text1"/>
          <w:szCs w:val="21"/>
          <w14:textFill>
            <w14:solidFill>
              <w14:schemeClr w14:val="tx1"/>
            </w14:solidFill>
          </w14:textFill>
        </w:rPr>
      </w:pPr>
    </w:p>
    <w:p>
      <w:pPr>
        <w:spacing w:line="360" w:lineRule="auto"/>
        <w:ind w:firstLine="420" w:firstLineChars="200"/>
        <w:rPr>
          <w:rFonts w:ascii="宋体" w:hAnsi="宋体" w:cs="宋体"/>
          <w:b/>
          <w:bCs/>
          <w:color w:val="000000" w:themeColor="text1"/>
          <w:szCs w:val="2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pStyle w:val="2"/>
        <w:ind w:left="420"/>
        <w:rPr>
          <w:rFonts w:ascii="宋体" w:hAnsi="宋体" w:cs="宋体"/>
          <w:color w:val="000000" w:themeColor="text1"/>
          <w14:textFill>
            <w14:solidFill>
              <w14:schemeClr w14:val="tx1"/>
            </w14:solidFill>
          </w14:textFill>
        </w:rPr>
      </w:pPr>
    </w:p>
    <w:p>
      <w:pPr>
        <w:pStyle w:val="5"/>
        <w:rPr>
          <w:rFonts w:ascii="宋体" w:hAnsi="宋体" w:cs="宋体"/>
          <w:color w:val="000000" w:themeColor="text1"/>
          <w:szCs w:val="21"/>
          <w14:textFill>
            <w14:solidFill>
              <w14:schemeClr w14:val="tx1"/>
            </w14:solidFill>
          </w14:textFill>
        </w:rPr>
      </w:pPr>
    </w:p>
    <w:p>
      <w:pPr>
        <w:rPr>
          <w:rFonts w:ascii="宋体" w:hAnsi="宋体" w:cs="宋体"/>
          <w:color w:val="000000" w:themeColor="text1"/>
          <w:szCs w:val="21"/>
          <w14:textFill>
            <w14:solidFill>
              <w14:schemeClr w14:val="tx1"/>
            </w14:solidFill>
          </w14:textFill>
        </w:rPr>
      </w:pPr>
    </w:p>
    <w:p>
      <w:pPr>
        <w:pStyle w:val="2"/>
        <w:ind w:left="420"/>
        <w:rPr>
          <w:color w:val="000000" w:themeColor="text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pPr>
        <w:autoSpaceDE w:val="0"/>
        <w:autoSpaceDN w:val="0"/>
        <w:adjustRightInd w:val="0"/>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pStyle w:val="2"/>
        <w:ind w:left="0" w:leftChars="0" w:firstLine="0" w:firstLineChars="0"/>
        <w:rPr>
          <w:rFonts w:ascii="宋体" w:hAnsi="宋体" w:cs="宋体"/>
          <w:color w:val="000000" w:themeColor="text1"/>
          <w14:textFill>
            <w14:solidFill>
              <w14:schemeClr w14:val="tx1"/>
            </w14:solidFill>
          </w14:textFill>
        </w:rPr>
      </w:pPr>
    </w:p>
    <w:p>
      <w:pPr>
        <w:pStyle w:val="5"/>
        <w:rPr>
          <w:rFonts w:ascii="宋体" w:hAnsi="宋体" w:cs="宋体"/>
          <w:color w:val="000000" w:themeColor="text1"/>
          <w:szCs w:val="21"/>
          <w14:textFill>
            <w14:solidFill>
              <w14:schemeClr w14:val="tx1"/>
            </w14:solidFill>
          </w14:textFill>
        </w:rPr>
      </w:pPr>
    </w:p>
    <w:p>
      <w:pPr>
        <w:rPr>
          <w:rFonts w:ascii="宋体" w:hAnsi="宋体" w:cs="宋体"/>
          <w:color w:val="000000" w:themeColor="text1"/>
          <w:szCs w:val="21"/>
          <w14:textFill>
            <w14:solidFill>
              <w14:schemeClr w14:val="tx1"/>
            </w14:solidFill>
          </w14:textFill>
        </w:rPr>
      </w:pPr>
    </w:p>
    <w:p>
      <w:pPr>
        <w:pStyle w:val="2"/>
        <w:ind w:left="420"/>
        <w:rPr>
          <w:rFonts w:ascii="宋体" w:hAnsi="宋体" w:cs="宋体"/>
          <w:color w:val="000000" w:themeColor="text1"/>
          <w14:textFill>
            <w14:solidFill>
              <w14:schemeClr w14:val="tx1"/>
            </w14:solidFill>
          </w14:textFill>
        </w:rPr>
      </w:pPr>
    </w:p>
    <w:p>
      <w:pPr>
        <w:pStyle w:val="5"/>
        <w:rPr>
          <w:rFonts w:ascii="宋体" w:hAnsi="宋体" w:cs="宋体"/>
          <w:color w:val="000000" w:themeColor="text1"/>
          <w:szCs w:val="21"/>
          <w14:textFill>
            <w14:solidFill>
              <w14:schemeClr w14:val="tx1"/>
            </w14:solidFill>
          </w14:textFill>
        </w:rPr>
      </w:pPr>
    </w:p>
    <w:p>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汉仪书宋二KW">
    <w:altName w:val="宋体"/>
    <w:panose1 w:val="00020600040101010101"/>
    <w:charset w:val="86"/>
    <w:family w:val="auto"/>
    <w:pitch w:val="default"/>
    <w:sig w:usb0="00000000" w:usb1="00000000" w:usb2="00000016" w:usb3="00000000" w:csb0="00040000" w:csb1="00000000"/>
  </w:font>
  <w:font w:name="Kingsoft Confetti">
    <w:altName w:val="Segoe Print"/>
    <w:panose1 w:val="05000100010000000000"/>
    <w:charset w:val="00"/>
    <w:family w:val="auto"/>
    <w:pitch w:val="default"/>
    <w:sig w:usb0="00000000" w:usb1="00000000" w:usb2="00000000" w:usb3="00000000" w:csb0="80000000"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Kingsoft Sign">
    <w:altName w:val="Segoe Print"/>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仿宋_GB2312">
    <w:altName w:val="仿宋"/>
    <w:panose1 w:val="02010609030101010101"/>
    <w:charset w:val="86"/>
    <w:family w:val="roma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汉仪中等线KW">
    <w:altName w:val="宋体"/>
    <w:panose1 w:val="01010104010101010101"/>
    <w:charset w:val="86"/>
    <w:family w:val="auto"/>
    <w:pitch w:val="default"/>
    <w:sig w:usb0="00000000" w:usb1="00000000" w:usb2="00000000" w:usb3="00000000" w:csb0="00040001" w:csb1="00000000"/>
  </w:font>
  <w:font w:name="楷体">
    <w:panose1 w:val="02010609060101010101"/>
    <w:charset w:val="86"/>
    <w:family w:val="roma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23877"/>
    </w:sdtPr>
    <w:sdtContent>
      <w:sdt>
        <w:sdtPr>
          <w:id w:val="171357217"/>
        </w:sdtPr>
        <w:sdtContent>
          <w:p>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38</w:t>
            </w:r>
            <w:r>
              <w:rPr>
                <w:b/>
                <w:sz w:val="24"/>
                <w:szCs w:val="24"/>
              </w:rPr>
              <w:fldChar w:fldCharType="end"/>
            </w:r>
          </w:p>
        </w:sdtContent>
      </w:sdt>
    </w:sdtContent>
  </w:sdt>
  <w:p>
    <w:pPr>
      <w:pStyle w:val="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8"/>
      </w:rPr>
    </w:pPr>
    <w:r>
      <w:fldChar w:fldCharType="begin"/>
    </w:r>
    <w:r>
      <w:rPr>
        <w:rStyle w:val="8"/>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w:t>
    </w:r>
    <w:r>
      <w:rPr>
        <w:rFonts w:hint="eastAsia" w:ascii="黑体" w:hAnsi="黑体" w:eastAsia="黑体"/>
        <w:b/>
        <w:color w:val="auto"/>
      </w:rPr>
      <w:t>银理财·春系列</w:t>
    </w:r>
    <w:r>
      <w:rPr>
        <w:rFonts w:hint="eastAsia" w:ascii="黑体" w:hAnsi="黑体" w:eastAsia="黑体"/>
        <w:b/>
        <w:color w:val="auto"/>
        <w:lang w:val="en-US" w:eastAsia="zh-CN"/>
      </w:rPr>
      <w:t>全球配置持有期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90978569">
    <w:nsid w:val="64CA4909"/>
    <w:multiLevelType w:val="singleLevel"/>
    <w:tmpl w:val="64CA4909"/>
    <w:lvl w:ilvl="0" w:tentative="1">
      <w:start w:val="4"/>
      <w:numFmt w:val="chineseCounting"/>
      <w:suff w:val="nothing"/>
      <w:lvlText w:val="（%1）"/>
      <w:lvlJc w:val="left"/>
    </w:lvl>
  </w:abstractNum>
  <w:abstractNum w:abstractNumId="929843485">
    <w:nsid w:val="376C491D"/>
    <w:multiLevelType w:val="singleLevel"/>
    <w:tmpl w:val="376C491D"/>
    <w:lvl w:ilvl="0" w:tentative="1">
      <w:start w:val="2"/>
      <w:numFmt w:val="chineseCounting"/>
      <w:suff w:val="nothing"/>
      <w:lvlText w:val="（%1）"/>
      <w:lvlJc w:val="left"/>
      <w:rPr>
        <w:rFonts w:hint="eastAsia"/>
      </w:rPr>
    </w:lvl>
  </w:abstractNum>
  <w:num w:numId="1">
    <w:abstractNumId w:val="1690978569"/>
  </w:num>
  <w:num w:numId="2">
    <w:abstractNumId w:val="92984348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71513"/>
    <w:rsid w:val="02B664E0"/>
    <w:rsid w:val="051E1258"/>
    <w:rsid w:val="07835C2D"/>
    <w:rsid w:val="0A4A6793"/>
    <w:rsid w:val="11EA083A"/>
    <w:rsid w:val="1289246F"/>
    <w:rsid w:val="15071722"/>
    <w:rsid w:val="18491B5A"/>
    <w:rsid w:val="1ABB169B"/>
    <w:rsid w:val="1D922C2C"/>
    <w:rsid w:val="1FD1419E"/>
    <w:rsid w:val="29940959"/>
    <w:rsid w:val="2AA06166"/>
    <w:rsid w:val="2C3000F3"/>
    <w:rsid w:val="2CEA3F6C"/>
    <w:rsid w:val="2DD40B65"/>
    <w:rsid w:val="2F34075A"/>
    <w:rsid w:val="3B317243"/>
    <w:rsid w:val="3CB64173"/>
    <w:rsid w:val="494F1693"/>
    <w:rsid w:val="4DA17605"/>
    <w:rsid w:val="4F543114"/>
    <w:rsid w:val="504253B8"/>
    <w:rsid w:val="50924CA8"/>
    <w:rsid w:val="540B1350"/>
    <w:rsid w:val="56D54F8F"/>
    <w:rsid w:val="59F75CAF"/>
    <w:rsid w:val="5E3C6369"/>
    <w:rsid w:val="672B5012"/>
    <w:rsid w:val="6B3F5BE0"/>
    <w:rsid w:val="6BE0751C"/>
    <w:rsid w:val="6D2E058D"/>
    <w:rsid w:val="6E191184"/>
    <w:rsid w:val="71B94AE2"/>
    <w:rsid w:val="768D1DE9"/>
    <w:rsid w:val="76A454C0"/>
    <w:rsid w:val="7CD32A22"/>
    <w:rsid w:val="B5BD2B8B"/>
    <w:rsid w:val="DDB16BEB"/>
    <w:rsid w:val="EBDF9E47"/>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unhideWhenUsed/>
    <w:qFormat/>
    <w:uiPriority w:val="99"/>
    <w:pPr>
      <w:tabs>
        <w:tab w:val="center" w:pos="4153"/>
        <w:tab w:val="right" w:pos="8306"/>
      </w:tabs>
      <w:snapToGrid w:val="0"/>
      <w:jc w:val="left"/>
    </w:pPr>
    <w:rPr>
      <w:sz w:val="18"/>
      <w:szCs w:val="18"/>
    </w:rPr>
  </w:style>
  <w:style w:type="character" w:styleId="8">
    <w:name w:val="page number"/>
    <w:qFormat/>
    <w:uiPriority w:val="0"/>
  </w:style>
  <w:style w:type="character" w:styleId="9">
    <w:name w:val="Hyperlink"/>
    <w:qFormat/>
    <w:uiPriority w:val="0"/>
    <w:rPr>
      <w:color w:val="0000FF"/>
      <w:u w:val="single"/>
    </w:rPr>
  </w:style>
  <w:style w:type="character" w:styleId="10">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 w:type="character" w:customStyle="1" w:styleId="14">
    <w:name w:val="15"/>
    <w:basedOn w:val="7"/>
    <w:qFormat/>
    <w:uiPriority w:val="0"/>
    <w:rPr>
      <w:rFonts w:hint="eastAsia" w:ascii="等线" w:hAnsi="等线" w:eastAsia="等线" w:cs="等线"/>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2694</Words>
  <Characters>2793</Characters>
  <Lines>0</Lines>
  <Paragraphs>0</Paragraphs>
  <ScaleCrop>false</ScaleCrop>
  <LinksUpToDate>false</LinksUpToDate>
  <CharactersWithSpaces>2800</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2026-01-30T19:14:00Z</dcterms:created>
  <dc:creator>Administrator</dc:creator>
  <cp:lastModifiedBy>沈兹玖_产品管理部</cp:lastModifiedBy>
  <dcterms:modified xsi:type="dcterms:W3CDTF">2026-03-30T09:07:27Z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y fmtid="{D5CDD505-2E9C-101B-9397-08002B2CF9AE}" pid="3" name="ICV">
    <vt:lpwstr>522DD05A1F37C68029EFC569C3105C00_43</vt:lpwstr>
  </property>
</Properties>
</file>